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29AA" w14:textId="77777777" w:rsidR="00346E7C" w:rsidRDefault="00424117" w:rsidP="00424117">
      <w:pPr>
        <w:pStyle w:val="Title"/>
      </w:pPr>
      <w:r w:rsidRPr="00CB2338">
        <w:rPr>
          <w:sz w:val="28"/>
        </w:rPr>
        <w:t>Going Beyond ACI 332: Commercial / Residential Enhanced Durability Concrete: Phase III The Effect of Limited Curing</w:t>
      </w:r>
    </w:p>
    <w:p w14:paraId="1DC00D5E" w14:textId="77777777" w:rsidR="00424117" w:rsidRDefault="00424117" w:rsidP="00424117"/>
    <w:p w14:paraId="6BCD81DF" w14:textId="5982B276" w:rsidR="00424117" w:rsidRPr="00CB2338" w:rsidRDefault="00424117" w:rsidP="00424117">
      <w:r w:rsidRPr="00CB2338">
        <w:t xml:space="preserve">Robert Tyler Hughes, L.K. Crouch, Daniel Badoe, </w:t>
      </w:r>
      <w:r w:rsidR="00057DCC">
        <w:t xml:space="preserve">Kyle Wendt, </w:t>
      </w:r>
      <w:r w:rsidRPr="00CB2338">
        <w:t>Alan Sparkman, John Pearson</w:t>
      </w:r>
    </w:p>
    <w:p w14:paraId="0822A6B4" w14:textId="77777777" w:rsidR="00424117" w:rsidRDefault="00424117" w:rsidP="00424117">
      <w:pPr>
        <w:rPr>
          <w:b/>
        </w:rPr>
      </w:pPr>
    </w:p>
    <w:p w14:paraId="3461E9C9" w14:textId="77777777" w:rsidR="00424117" w:rsidRDefault="00424117" w:rsidP="00FC21C1">
      <w:pPr>
        <w:pStyle w:val="Heading1"/>
      </w:pPr>
      <w:r w:rsidRPr="00FC21C1">
        <w:t>ABSTRACT</w:t>
      </w:r>
    </w:p>
    <w:p w14:paraId="2B5285CF" w14:textId="77777777" w:rsidR="00424117" w:rsidRDefault="00424117" w:rsidP="00424117"/>
    <w:p w14:paraId="23993277" w14:textId="5F15C54A" w:rsidR="00DD78F8" w:rsidRDefault="00060280" w:rsidP="00424117">
      <w:r>
        <w:tab/>
        <w:t>An absence or shortened amount of curing time for Portland cement concrete can reduce the potential degree of hydration in that concrete. Adequate curing can increase the potential for hydration, the chemical reaction between cement and water, and thus potentially increase the amount of hydration products</w:t>
      </w:r>
      <w:r w:rsidR="00746F84">
        <w:t xml:space="preserve">. Hydration products not only </w:t>
      </w:r>
      <w:r w:rsidR="00CB2338">
        <w:t>increase</w:t>
      </w:r>
      <w:r w:rsidR="00746F84">
        <w:t xml:space="preserve"> strength</w:t>
      </w:r>
      <w:r w:rsidR="00DD78F8">
        <w:t>, they also occupy the void space left by water used for hydration, creating a less permeable concrete matrix. Through these mechanisms, curing can increase both the strength and durabilit</w:t>
      </w:r>
      <w:r w:rsidR="00CB2338">
        <w:t>y</w:t>
      </w:r>
      <w:r w:rsidR="00DD78F8">
        <w:t>.</w:t>
      </w:r>
    </w:p>
    <w:p w14:paraId="593434D4" w14:textId="77777777" w:rsidR="00DD78F8" w:rsidRDefault="00DD78F8" w:rsidP="00424117"/>
    <w:p w14:paraId="17E41C1C" w14:textId="1D052F02" w:rsidR="00424117" w:rsidRDefault="00DD78F8" w:rsidP="00424117">
      <w:r>
        <w:tab/>
      </w:r>
      <w:r w:rsidR="00CB2338">
        <w:t xml:space="preserve">Curing concrete is often overlooked in practice due to its time-consuming process. Although the curing process </w:t>
      </w:r>
      <w:r w:rsidR="00EF06A9">
        <w:t>can potentially slow down the progress of a project, it is crucial for the strength and durability development of concrete.</w:t>
      </w:r>
      <w:r w:rsidR="00AE6DD1">
        <w:t xml:space="preserve"> Using a variety of common mixes (commercial 3500, commercial ACI, and CRED) and exposing them to limited various amounts of curing, the objective of this research is show how curing effects</w:t>
      </w:r>
      <w:r w:rsidR="00EF06A9">
        <w:t xml:space="preserve"> 28-day</w:t>
      </w:r>
      <w:r w:rsidR="00AE6DD1">
        <w:t xml:space="preserve"> hardened properties</w:t>
      </w:r>
      <w:r w:rsidR="00EF06A9">
        <w:t>.</w:t>
      </w:r>
    </w:p>
    <w:p w14:paraId="41C23F4A" w14:textId="5402CEDA" w:rsidR="00AE6DD1" w:rsidRDefault="00AE6DD1" w:rsidP="00424117"/>
    <w:p w14:paraId="0AC65A4A" w14:textId="4C87FD43" w:rsidR="00AE6DD1" w:rsidRDefault="00AE6DD1" w:rsidP="00424117">
      <w:r>
        <w:tab/>
        <w:t xml:space="preserve">Six batches of each mixture were </w:t>
      </w:r>
      <w:r w:rsidR="00D12049">
        <w:t>used</w:t>
      </w:r>
      <w:r>
        <w:t>.</w:t>
      </w:r>
      <w:r w:rsidR="00EF06A9" w:rsidRPr="00EF06A9">
        <w:rPr>
          <w:color w:val="000000"/>
          <w:sz w:val="27"/>
          <w:szCs w:val="27"/>
        </w:rPr>
        <w:t xml:space="preserve"> </w:t>
      </w:r>
      <w:r w:rsidR="00EF06A9" w:rsidRPr="00EF06A9">
        <w:t xml:space="preserve">Sixteen four-inch by eight-inch cylinders were cast from each batch. The cylinders from each batch were divided into four sets of </w:t>
      </w:r>
      <w:r w:rsidR="00EF06A9">
        <w:t xml:space="preserve">four </w:t>
      </w:r>
      <w:r w:rsidR="00EF06A9" w:rsidRPr="00EF06A9">
        <w:t>and each cured for a different length of time (0, 3, 7, and 14 days)</w:t>
      </w:r>
      <w:r w:rsidR="00EF06A9">
        <w:t>.</w:t>
      </w:r>
      <w:r>
        <w:t xml:space="preserve"> </w:t>
      </w:r>
      <w:r w:rsidR="00451B3E">
        <w:t>Surface resistivity, compressive strength, and split tensile strength were determined at 28 days. The effects of extended amounts of curing increased the benefits of strength and durability properties in 38 out of 54 instances.</w:t>
      </w:r>
      <w:r w:rsidR="00EF06A9">
        <w:t xml:space="preserve"> </w:t>
      </w:r>
    </w:p>
    <w:p w14:paraId="71075046" w14:textId="409F7BB9" w:rsidR="00451B3E" w:rsidRDefault="00451B3E" w:rsidP="00424117"/>
    <w:p w14:paraId="415A506F" w14:textId="1ECE8B21" w:rsidR="00451B3E" w:rsidRDefault="00451B3E" w:rsidP="00424117">
      <w:r>
        <w:tab/>
      </w:r>
      <w:r w:rsidR="00451540">
        <w:t xml:space="preserve">The compressive strength </w:t>
      </w:r>
      <w:r w:rsidR="007656E1">
        <w:t>yielded</w:t>
      </w:r>
      <w:r w:rsidR="00451540">
        <w:t xml:space="preserve"> the most improvement due to longer amounts of immersion curing, however split tensile and surface resistivity also had improvements in results based on curing time. </w:t>
      </w:r>
    </w:p>
    <w:p w14:paraId="74BC37F1" w14:textId="77777777" w:rsidR="007656E1" w:rsidRDefault="007656E1" w:rsidP="00424117"/>
    <w:p w14:paraId="3D3E738D" w14:textId="7A07F853" w:rsidR="00845A3E" w:rsidRPr="00845A3E" w:rsidRDefault="002B3ABE" w:rsidP="007656E1">
      <w:pPr>
        <w:pStyle w:val="Heading1"/>
      </w:pPr>
      <w:r>
        <w:t xml:space="preserve">Introduction </w:t>
      </w:r>
      <w:r w:rsidR="00845A3E">
        <w:t>And Literature Review</w:t>
      </w:r>
    </w:p>
    <w:p w14:paraId="361CA5DC" w14:textId="77777777" w:rsidR="002B3ABE" w:rsidRDefault="002B3ABE" w:rsidP="002B3ABE"/>
    <w:p w14:paraId="0413C4B7" w14:textId="298DBDD4" w:rsidR="002B3ABE" w:rsidRDefault="002B3ABE" w:rsidP="002B3ABE">
      <w:r>
        <w:tab/>
      </w:r>
      <w:r w:rsidR="00984257">
        <w:t xml:space="preserve">The process required to </w:t>
      </w:r>
      <w:r w:rsidR="007B3FE7">
        <w:t>adequately</w:t>
      </w:r>
      <w:r w:rsidR="00984257">
        <w:t xml:space="preserve"> cure concrete</w:t>
      </w:r>
      <w:r w:rsidR="007B3FE7">
        <w:t xml:space="preserve"> can be seen by many contractors as overwhelming or not worth the time and money. Common curing methods such as water ponding and the installation of wetted burlap, both for extended amounts of time, can stall the progress of a project and lead to scheduling problems for the remainder of the project. However, the process of curing concrete ensures the adequate strength development and promotion of durability characteristics</w:t>
      </w:r>
      <w:r w:rsidR="00FC21C1">
        <w:t xml:space="preserve"> (</w:t>
      </w:r>
      <w:r w:rsidR="00732011">
        <w:t>1</w:t>
      </w:r>
      <w:r w:rsidR="00FC21C1">
        <w:t>)</w:t>
      </w:r>
      <w:r w:rsidR="007B3FE7">
        <w:t>. A concrete’s strength is undoubtedly an important characteristic and is a main describing factor in its production</w:t>
      </w:r>
      <w:r w:rsidR="00965129">
        <w:t>, while</w:t>
      </w:r>
      <w:r w:rsidR="007B3FE7">
        <w:t xml:space="preserve"> </w:t>
      </w:r>
      <w:r w:rsidR="004C37B5">
        <w:t xml:space="preserve">the </w:t>
      </w:r>
      <w:r w:rsidR="007B3FE7">
        <w:t xml:space="preserve">durability of a concrete determines how long </w:t>
      </w:r>
      <w:r w:rsidR="004C37B5">
        <w:t>that concrete’s service life will be.</w:t>
      </w:r>
      <w:r w:rsidR="005C6932">
        <w:t xml:space="preserve"> An absence or shortened amount of time allowed for curing can lead to a decrease in both the strength and durability in concrete</w:t>
      </w:r>
      <w:r w:rsidR="00FC21C1">
        <w:t xml:space="preserve"> (</w:t>
      </w:r>
      <w:r w:rsidR="00732011">
        <w:t>2</w:t>
      </w:r>
      <w:r w:rsidR="00FC21C1">
        <w:t>)</w:t>
      </w:r>
      <w:r w:rsidR="005C6932">
        <w:t>.</w:t>
      </w:r>
    </w:p>
    <w:p w14:paraId="6B2D6D89" w14:textId="77777777" w:rsidR="00845A3E" w:rsidRDefault="00845A3E" w:rsidP="002B3ABE"/>
    <w:p w14:paraId="056E4127" w14:textId="7A2CFDF1" w:rsidR="004C37B5" w:rsidRDefault="004C37B5" w:rsidP="002B3ABE">
      <w:r>
        <w:tab/>
      </w:r>
      <w:r w:rsidR="00985C97">
        <w:t>The introduction of external water after a concrete’s final set provides moisture that can be used to keep the relative humidity (RH) of the concrete’s matrix high and provide extra water to further promote the hydration of Portland cement</w:t>
      </w:r>
      <w:r w:rsidR="00FC21C1">
        <w:t xml:space="preserve"> (</w:t>
      </w:r>
      <w:r w:rsidR="00732011">
        <w:t>2</w:t>
      </w:r>
      <w:r w:rsidR="00FC21C1">
        <w:t>)</w:t>
      </w:r>
      <w:r w:rsidR="00985C97">
        <w:t>. The longer this external water is present, the more opportunity the concrete has to reach a higher degree of hydration</w:t>
      </w:r>
      <w:r w:rsidR="005C6932">
        <w:t xml:space="preserve">. Hydration </w:t>
      </w:r>
      <w:r w:rsidR="00213CB0">
        <w:t>products</w:t>
      </w:r>
      <w:r w:rsidR="005C6932">
        <w:t xml:space="preserve"> </w:t>
      </w:r>
      <w:r w:rsidR="005C6932">
        <w:lastRenderedPageBreak/>
        <w:t xml:space="preserve">take the place of the space previously occupied by the mixing water, so this promotion of hydration leads to more </w:t>
      </w:r>
      <w:r w:rsidR="00213CB0">
        <w:t>products</w:t>
      </w:r>
      <w:r w:rsidR="005C6932">
        <w:t xml:space="preserve"> being available to occupy what would have been permeable pore space, making the concrete stronger and less susceptible to harmful chloride ion penetration</w:t>
      </w:r>
      <w:r w:rsidR="00492FB7">
        <w:t xml:space="preserve"> (</w:t>
      </w:r>
      <w:r w:rsidR="00732011">
        <w:t>3</w:t>
      </w:r>
      <w:r w:rsidR="00492FB7">
        <w:t>)</w:t>
      </w:r>
      <w:r w:rsidR="005C6932">
        <w:t>.</w:t>
      </w:r>
      <w:r w:rsidR="00D9478F">
        <w:t xml:space="preserve"> Chloride ion penetration and sorptivity are durability problems in concrete that can lessen the service life of </w:t>
      </w:r>
      <w:r w:rsidR="00213CB0">
        <w:t>concrete and</w:t>
      </w:r>
      <w:r w:rsidR="00D9478F">
        <w:t xml:space="preserve"> have seen to be higher with concrete</w:t>
      </w:r>
      <w:r w:rsidR="00204A56">
        <w:t xml:space="preserve"> being only air cured</w:t>
      </w:r>
      <w:r w:rsidR="00D9478F">
        <w:t xml:space="preserve"> (</w:t>
      </w:r>
      <w:r w:rsidR="00732011">
        <w:t>4</w:t>
      </w:r>
      <w:r w:rsidR="00D9478F">
        <w:t>).</w:t>
      </w:r>
      <w:r w:rsidR="00213CB0">
        <w:t xml:space="preserve"> </w:t>
      </w:r>
    </w:p>
    <w:p w14:paraId="6EE1F800" w14:textId="6DF412BB" w:rsidR="00845A3E" w:rsidRDefault="00845A3E" w:rsidP="002B3ABE"/>
    <w:p w14:paraId="477F7E27" w14:textId="06D3BC9C" w:rsidR="00845A3E" w:rsidRDefault="00845A3E" w:rsidP="002B3ABE">
      <w:r>
        <w:tab/>
        <w:t xml:space="preserve">An absence of external </w:t>
      </w:r>
      <w:r w:rsidR="00492FB7">
        <w:t>water after a concrete’s final set, or air cured, has been seen in studies, such as a comparative study by Goel, to cause a lesser compressive and tensile strength than a concrete that has been cured via water immersion or under plastic film</w:t>
      </w:r>
      <w:r w:rsidR="00364C33">
        <w:t xml:space="preserve">. This decrease in strength properties was seen in early age (3-7 days) as well as late age (28-56 days) testing, the latter of which </w:t>
      </w:r>
      <w:r w:rsidR="007656E1">
        <w:t>produced</w:t>
      </w:r>
      <w:r w:rsidR="00364C33">
        <w:t xml:space="preserve"> the biggest difference due to the higher degree of hydration from the immersion groups (</w:t>
      </w:r>
      <w:r w:rsidR="00732011">
        <w:t>5</w:t>
      </w:r>
      <w:r w:rsidR="00364C33">
        <w:t xml:space="preserve">). </w:t>
      </w:r>
      <w:r w:rsidR="009B68B1">
        <w:t>According to a study by Senbetta, a poorly cured concrete contained a chloride ion concentration of nearly 50% greater than a concrete that was well cured (</w:t>
      </w:r>
      <w:r w:rsidR="00732011">
        <w:t>6</w:t>
      </w:r>
      <w:r w:rsidR="009B68B1">
        <w:t>). This characteristic can lead to severe durability concerns for a concrete and lead to a shortened service life.</w:t>
      </w:r>
    </w:p>
    <w:p w14:paraId="55E68BAA" w14:textId="0888EB8D" w:rsidR="00364C33" w:rsidRDefault="00364C33" w:rsidP="002B3ABE"/>
    <w:p w14:paraId="07C13E31" w14:textId="52751936" w:rsidR="00364C33" w:rsidRDefault="009B68B1" w:rsidP="009B68B1">
      <w:pPr>
        <w:pStyle w:val="Heading1"/>
      </w:pPr>
      <w:r>
        <w:t>Materials</w:t>
      </w:r>
      <w:r w:rsidR="00AF38FE">
        <w:t xml:space="preserve"> and procedure</w:t>
      </w:r>
    </w:p>
    <w:p w14:paraId="47EC5F79" w14:textId="52177E32" w:rsidR="009B68B1" w:rsidRDefault="009B68B1" w:rsidP="009B68B1"/>
    <w:p w14:paraId="6A512AD0" w14:textId="59C47CCC" w:rsidR="007656E1" w:rsidRDefault="00FA745D" w:rsidP="009B68B1">
      <w:r>
        <w:tab/>
        <w:t>The materials used in this experiment are shown in Table 1</w:t>
      </w:r>
      <w:r w:rsidR="00EE69C6">
        <w:t xml:space="preserve">, Column 1. </w:t>
      </w:r>
      <w:r w:rsidR="00E15C93">
        <w:t>The three mixes chosen to be used in this study have been used in two previous phases of research and are meant to represent a spectrum of low to high end performance based off of strength and durability characteristics.</w:t>
      </w:r>
      <w:r w:rsidR="001D20C5">
        <w:t xml:space="preserve"> This spectrum is displayed left to right across the top of Table 1.</w:t>
      </w:r>
      <w:r w:rsidR="00AF38FE">
        <w:t xml:space="preserve"> The percent substitution of Class F fly ash in CRED is still beyond the maximum percentage allowed by ACI 332 for concrete subjected to RF3 and RF4 exposure classes, as it was in Phases I and II</w:t>
      </w:r>
      <w:r w:rsidR="00912A0D">
        <w:t xml:space="preserve"> </w:t>
      </w:r>
      <w:r w:rsidR="00197C14">
        <w:t>(</w:t>
      </w:r>
      <w:r w:rsidR="00DB36FE">
        <w:t>8</w:t>
      </w:r>
      <w:r w:rsidR="00197C14">
        <w:t>)</w:t>
      </w:r>
      <w:r w:rsidR="00AF38FE">
        <w:t>.</w:t>
      </w:r>
      <w:r w:rsidR="00156AAF">
        <w:t xml:space="preserve"> </w:t>
      </w:r>
    </w:p>
    <w:p w14:paraId="46F69340" w14:textId="14B4A654" w:rsidR="00493623" w:rsidRDefault="007656E1" w:rsidP="0057047F">
      <w:pPr>
        <w:spacing w:after="160" w:line="259" w:lineRule="auto"/>
        <w:contextualSpacing w:val="0"/>
      </w:pPr>
      <w:r>
        <w:br w:type="page"/>
      </w:r>
    </w:p>
    <w:p w14:paraId="16755A29" w14:textId="7BF43096" w:rsidR="001D20C5" w:rsidRDefault="001D20C5" w:rsidP="001D20C5">
      <w:pPr>
        <w:jc w:val="center"/>
      </w:pPr>
      <w:r w:rsidRPr="001D20C5">
        <w:rPr>
          <w:b/>
        </w:rPr>
        <w:lastRenderedPageBreak/>
        <w:t>Table 1.</w:t>
      </w:r>
      <w:r>
        <w:t xml:space="preserve"> Materials Used</w:t>
      </w:r>
    </w:p>
    <w:p w14:paraId="3EECE5CC" w14:textId="77777777" w:rsidR="001D20C5" w:rsidRDefault="001D20C5" w:rsidP="001D20C5">
      <w:pPr>
        <w:jc w:val="center"/>
      </w:pPr>
    </w:p>
    <w:tbl>
      <w:tblPr>
        <w:tblW w:w="85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60"/>
        <w:gridCol w:w="1540"/>
        <w:gridCol w:w="1540"/>
        <w:gridCol w:w="1440"/>
      </w:tblGrid>
      <w:tr w:rsidR="001D20C5" w:rsidRPr="001D20C5" w14:paraId="69235B1D" w14:textId="77777777" w:rsidTr="001D20C5">
        <w:trPr>
          <w:trHeight w:val="630"/>
          <w:jc w:val="center"/>
        </w:trPr>
        <w:tc>
          <w:tcPr>
            <w:tcW w:w="4060" w:type="dxa"/>
            <w:shd w:val="clear" w:color="auto" w:fill="auto"/>
            <w:noWrap/>
            <w:vAlign w:val="center"/>
            <w:hideMark/>
          </w:tcPr>
          <w:p w14:paraId="4FFE9299"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Materials</w:t>
            </w:r>
          </w:p>
        </w:tc>
        <w:tc>
          <w:tcPr>
            <w:tcW w:w="1540" w:type="dxa"/>
            <w:shd w:val="clear" w:color="auto" w:fill="auto"/>
            <w:vAlign w:val="center"/>
            <w:hideMark/>
          </w:tcPr>
          <w:p w14:paraId="744AC49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Commercial 3500-psi</w:t>
            </w:r>
          </w:p>
        </w:tc>
        <w:tc>
          <w:tcPr>
            <w:tcW w:w="1540" w:type="dxa"/>
            <w:shd w:val="clear" w:color="auto" w:fill="auto"/>
            <w:vAlign w:val="center"/>
            <w:hideMark/>
          </w:tcPr>
          <w:p w14:paraId="7365CB7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Commercial ACI 332</w:t>
            </w:r>
          </w:p>
        </w:tc>
        <w:tc>
          <w:tcPr>
            <w:tcW w:w="1440" w:type="dxa"/>
            <w:shd w:val="clear" w:color="auto" w:fill="auto"/>
            <w:noWrap/>
            <w:vAlign w:val="center"/>
            <w:hideMark/>
          </w:tcPr>
          <w:p w14:paraId="233CA8C5"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CRED</w:t>
            </w:r>
          </w:p>
        </w:tc>
      </w:tr>
      <w:tr w:rsidR="001D20C5" w:rsidRPr="001D20C5" w14:paraId="024033A2" w14:textId="77777777" w:rsidTr="001D20C5">
        <w:trPr>
          <w:trHeight w:val="315"/>
          <w:jc w:val="center"/>
        </w:trPr>
        <w:tc>
          <w:tcPr>
            <w:tcW w:w="4060" w:type="dxa"/>
            <w:shd w:val="clear" w:color="auto" w:fill="auto"/>
            <w:noWrap/>
            <w:vAlign w:val="center"/>
            <w:hideMark/>
          </w:tcPr>
          <w:p w14:paraId="0C6B67AA"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Type I/II PC, (lbs/CY)</w:t>
            </w:r>
          </w:p>
        </w:tc>
        <w:tc>
          <w:tcPr>
            <w:tcW w:w="1540" w:type="dxa"/>
            <w:shd w:val="clear" w:color="auto" w:fill="auto"/>
            <w:noWrap/>
            <w:vAlign w:val="center"/>
            <w:hideMark/>
          </w:tcPr>
          <w:p w14:paraId="0F74AF77"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375</w:t>
            </w:r>
          </w:p>
        </w:tc>
        <w:tc>
          <w:tcPr>
            <w:tcW w:w="1540" w:type="dxa"/>
            <w:shd w:val="clear" w:color="auto" w:fill="auto"/>
            <w:noWrap/>
            <w:vAlign w:val="center"/>
            <w:hideMark/>
          </w:tcPr>
          <w:p w14:paraId="0A7C1F62"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451</w:t>
            </w:r>
          </w:p>
        </w:tc>
        <w:tc>
          <w:tcPr>
            <w:tcW w:w="1440" w:type="dxa"/>
            <w:shd w:val="clear" w:color="auto" w:fill="auto"/>
            <w:noWrap/>
            <w:vAlign w:val="center"/>
            <w:hideMark/>
          </w:tcPr>
          <w:p w14:paraId="56CC9A16"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312</w:t>
            </w:r>
          </w:p>
        </w:tc>
      </w:tr>
      <w:tr w:rsidR="001D20C5" w:rsidRPr="001D20C5" w14:paraId="64E2CDCF" w14:textId="77777777" w:rsidTr="001D20C5">
        <w:trPr>
          <w:trHeight w:val="315"/>
          <w:jc w:val="center"/>
        </w:trPr>
        <w:tc>
          <w:tcPr>
            <w:tcW w:w="4060" w:type="dxa"/>
            <w:shd w:val="clear" w:color="auto" w:fill="auto"/>
            <w:noWrap/>
            <w:vAlign w:val="center"/>
            <w:hideMark/>
          </w:tcPr>
          <w:p w14:paraId="74098811"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Class F Fly Ash, (lbs/CY)</w:t>
            </w:r>
          </w:p>
        </w:tc>
        <w:tc>
          <w:tcPr>
            <w:tcW w:w="1540" w:type="dxa"/>
            <w:shd w:val="clear" w:color="auto" w:fill="auto"/>
            <w:noWrap/>
            <w:vAlign w:val="center"/>
            <w:hideMark/>
          </w:tcPr>
          <w:p w14:paraId="2CB5F98D"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p>
        </w:tc>
        <w:tc>
          <w:tcPr>
            <w:tcW w:w="1540" w:type="dxa"/>
            <w:shd w:val="clear" w:color="auto" w:fill="auto"/>
            <w:noWrap/>
            <w:vAlign w:val="center"/>
            <w:hideMark/>
          </w:tcPr>
          <w:p w14:paraId="5C336D10"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p>
        </w:tc>
        <w:tc>
          <w:tcPr>
            <w:tcW w:w="1440" w:type="dxa"/>
            <w:shd w:val="clear" w:color="auto" w:fill="auto"/>
            <w:noWrap/>
            <w:vAlign w:val="center"/>
            <w:hideMark/>
          </w:tcPr>
          <w:p w14:paraId="3BEBECA8"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187.2</w:t>
            </w:r>
          </w:p>
        </w:tc>
      </w:tr>
      <w:tr w:rsidR="001D20C5" w:rsidRPr="001D20C5" w14:paraId="1590B3B0" w14:textId="77777777" w:rsidTr="001D20C5">
        <w:trPr>
          <w:trHeight w:val="315"/>
          <w:jc w:val="center"/>
        </w:trPr>
        <w:tc>
          <w:tcPr>
            <w:tcW w:w="4060" w:type="dxa"/>
            <w:shd w:val="clear" w:color="auto" w:fill="auto"/>
            <w:noWrap/>
            <w:vAlign w:val="center"/>
            <w:hideMark/>
          </w:tcPr>
          <w:p w14:paraId="6BFE63CD"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Class C Fly Ash, (lbs/CY)</w:t>
            </w:r>
          </w:p>
        </w:tc>
        <w:tc>
          <w:tcPr>
            <w:tcW w:w="1540" w:type="dxa"/>
            <w:shd w:val="clear" w:color="auto" w:fill="auto"/>
            <w:noWrap/>
            <w:vAlign w:val="center"/>
            <w:hideMark/>
          </w:tcPr>
          <w:p w14:paraId="19479501"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1.5</w:t>
            </w:r>
          </w:p>
        </w:tc>
        <w:tc>
          <w:tcPr>
            <w:tcW w:w="1540" w:type="dxa"/>
            <w:shd w:val="clear" w:color="auto" w:fill="auto"/>
            <w:noWrap/>
            <w:vAlign w:val="center"/>
            <w:hideMark/>
          </w:tcPr>
          <w:p w14:paraId="6A2BFFA2"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113</w:t>
            </w:r>
          </w:p>
        </w:tc>
        <w:tc>
          <w:tcPr>
            <w:tcW w:w="1440" w:type="dxa"/>
            <w:shd w:val="clear" w:color="auto" w:fill="auto"/>
            <w:noWrap/>
            <w:vAlign w:val="center"/>
            <w:hideMark/>
          </w:tcPr>
          <w:p w14:paraId="34FAD380"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p>
        </w:tc>
      </w:tr>
      <w:tr w:rsidR="001D20C5" w:rsidRPr="001D20C5" w14:paraId="2EA5BF03" w14:textId="77777777" w:rsidTr="001D20C5">
        <w:trPr>
          <w:trHeight w:val="315"/>
          <w:jc w:val="center"/>
        </w:trPr>
        <w:tc>
          <w:tcPr>
            <w:tcW w:w="4060" w:type="dxa"/>
            <w:shd w:val="clear" w:color="auto" w:fill="auto"/>
            <w:noWrap/>
            <w:vAlign w:val="center"/>
            <w:hideMark/>
          </w:tcPr>
          <w:p w14:paraId="6B4A26C6"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Metakaolin, (lbs/CY)</w:t>
            </w:r>
          </w:p>
        </w:tc>
        <w:tc>
          <w:tcPr>
            <w:tcW w:w="1540" w:type="dxa"/>
            <w:shd w:val="clear" w:color="auto" w:fill="auto"/>
            <w:noWrap/>
            <w:vAlign w:val="center"/>
            <w:hideMark/>
          </w:tcPr>
          <w:p w14:paraId="16BE70D8"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p>
        </w:tc>
        <w:tc>
          <w:tcPr>
            <w:tcW w:w="1540" w:type="dxa"/>
            <w:shd w:val="clear" w:color="auto" w:fill="auto"/>
            <w:noWrap/>
            <w:vAlign w:val="center"/>
            <w:hideMark/>
          </w:tcPr>
          <w:p w14:paraId="22FBCC23"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p>
        </w:tc>
        <w:tc>
          <w:tcPr>
            <w:tcW w:w="1440" w:type="dxa"/>
            <w:shd w:val="clear" w:color="auto" w:fill="auto"/>
            <w:noWrap/>
            <w:vAlign w:val="center"/>
            <w:hideMark/>
          </w:tcPr>
          <w:p w14:paraId="30D32100"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20.8</w:t>
            </w:r>
          </w:p>
        </w:tc>
      </w:tr>
      <w:tr w:rsidR="001D20C5" w:rsidRPr="001D20C5" w14:paraId="04C4A1CE" w14:textId="77777777" w:rsidTr="001D20C5">
        <w:trPr>
          <w:trHeight w:val="315"/>
          <w:jc w:val="center"/>
        </w:trPr>
        <w:tc>
          <w:tcPr>
            <w:tcW w:w="4060" w:type="dxa"/>
            <w:shd w:val="clear" w:color="auto" w:fill="auto"/>
            <w:noWrap/>
            <w:vAlign w:val="center"/>
            <w:hideMark/>
          </w:tcPr>
          <w:p w14:paraId="279DB0E8"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No. 57 Stone, (SSD lbs/CY)</w:t>
            </w:r>
          </w:p>
        </w:tc>
        <w:tc>
          <w:tcPr>
            <w:tcW w:w="1540" w:type="dxa"/>
            <w:shd w:val="clear" w:color="auto" w:fill="auto"/>
            <w:noWrap/>
            <w:vAlign w:val="center"/>
            <w:hideMark/>
          </w:tcPr>
          <w:p w14:paraId="67986D73"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1816</w:t>
            </w:r>
          </w:p>
        </w:tc>
        <w:tc>
          <w:tcPr>
            <w:tcW w:w="1540" w:type="dxa"/>
            <w:shd w:val="clear" w:color="auto" w:fill="auto"/>
            <w:noWrap/>
            <w:vAlign w:val="center"/>
            <w:hideMark/>
          </w:tcPr>
          <w:p w14:paraId="5DABC551"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1854</w:t>
            </w:r>
          </w:p>
        </w:tc>
        <w:tc>
          <w:tcPr>
            <w:tcW w:w="1440" w:type="dxa"/>
            <w:shd w:val="clear" w:color="auto" w:fill="auto"/>
            <w:noWrap/>
            <w:vAlign w:val="center"/>
            <w:hideMark/>
          </w:tcPr>
          <w:p w14:paraId="21BDADE3"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1911</w:t>
            </w:r>
          </w:p>
        </w:tc>
      </w:tr>
      <w:tr w:rsidR="001D20C5" w:rsidRPr="001D20C5" w14:paraId="7878CDEF" w14:textId="77777777" w:rsidTr="001D20C5">
        <w:trPr>
          <w:trHeight w:val="315"/>
          <w:jc w:val="center"/>
        </w:trPr>
        <w:tc>
          <w:tcPr>
            <w:tcW w:w="4060" w:type="dxa"/>
            <w:shd w:val="clear" w:color="auto" w:fill="auto"/>
            <w:noWrap/>
            <w:vAlign w:val="center"/>
            <w:hideMark/>
          </w:tcPr>
          <w:p w14:paraId="06800221"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River Sand, (SSD lbs/CY)</w:t>
            </w:r>
          </w:p>
        </w:tc>
        <w:tc>
          <w:tcPr>
            <w:tcW w:w="1540" w:type="dxa"/>
            <w:shd w:val="clear" w:color="auto" w:fill="auto"/>
            <w:noWrap/>
            <w:vAlign w:val="center"/>
            <w:hideMark/>
          </w:tcPr>
          <w:p w14:paraId="77DE587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1281</w:t>
            </w:r>
          </w:p>
        </w:tc>
        <w:tc>
          <w:tcPr>
            <w:tcW w:w="1540" w:type="dxa"/>
            <w:shd w:val="clear" w:color="auto" w:fill="auto"/>
            <w:noWrap/>
            <w:vAlign w:val="center"/>
            <w:hideMark/>
          </w:tcPr>
          <w:p w14:paraId="27F5D5E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1217</w:t>
            </w:r>
          </w:p>
        </w:tc>
        <w:tc>
          <w:tcPr>
            <w:tcW w:w="1440" w:type="dxa"/>
            <w:shd w:val="clear" w:color="auto" w:fill="auto"/>
            <w:noWrap/>
            <w:vAlign w:val="center"/>
            <w:hideMark/>
          </w:tcPr>
          <w:p w14:paraId="1D1CE48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1252</w:t>
            </w:r>
          </w:p>
        </w:tc>
      </w:tr>
      <w:tr w:rsidR="001D20C5" w:rsidRPr="001D20C5" w14:paraId="2F778B2A" w14:textId="77777777" w:rsidTr="001D20C5">
        <w:trPr>
          <w:trHeight w:val="315"/>
          <w:jc w:val="center"/>
        </w:trPr>
        <w:tc>
          <w:tcPr>
            <w:tcW w:w="4060" w:type="dxa"/>
            <w:shd w:val="clear" w:color="auto" w:fill="auto"/>
            <w:noWrap/>
            <w:vAlign w:val="center"/>
            <w:hideMark/>
          </w:tcPr>
          <w:p w14:paraId="4D814C6C"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Water, (lbs/CY)</w:t>
            </w:r>
          </w:p>
        </w:tc>
        <w:tc>
          <w:tcPr>
            <w:tcW w:w="1540" w:type="dxa"/>
            <w:shd w:val="clear" w:color="auto" w:fill="auto"/>
            <w:noWrap/>
            <w:vAlign w:val="center"/>
            <w:hideMark/>
          </w:tcPr>
          <w:p w14:paraId="745DBC26"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250</w:t>
            </w:r>
          </w:p>
        </w:tc>
        <w:tc>
          <w:tcPr>
            <w:tcW w:w="1540" w:type="dxa"/>
            <w:shd w:val="clear" w:color="auto" w:fill="auto"/>
            <w:noWrap/>
            <w:vAlign w:val="center"/>
            <w:hideMark/>
          </w:tcPr>
          <w:p w14:paraId="4B07F3BE"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250</w:t>
            </w:r>
          </w:p>
        </w:tc>
        <w:tc>
          <w:tcPr>
            <w:tcW w:w="1440" w:type="dxa"/>
            <w:shd w:val="clear" w:color="auto" w:fill="auto"/>
            <w:noWrap/>
            <w:vAlign w:val="center"/>
            <w:hideMark/>
          </w:tcPr>
          <w:p w14:paraId="0B1E9645"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203</w:t>
            </w:r>
          </w:p>
        </w:tc>
      </w:tr>
      <w:tr w:rsidR="001D20C5" w:rsidRPr="001D20C5" w14:paraId="16C0976B" w14:textId="77777777" w:rsidTr="001D20C5">
        <w:trPr>
          <w:trHeight w:val="315"/>
          <w:jc w:val="center"/>
        </w:trPr>
        <w:tc>
          <w:tcPr>
            <w:tcW w:w="4060" w:type="dxa"/>
            <w:shd w:val="clear" w:color="auto" w:fill="auto"/>
            <w:noWrap/>
            <w:vAlign w:val="center"/>
            <w:hideMark/>
          </w:tcPr>
          <w:p w14:paraId="1822A9A5"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Design Percent Air</w:t>
            </w:r>
          </w:p>
        </w:tc>
        <w:tc>
          <w:tcPr>
            <w:tcW w:w="1540" w:type="dxa"/>
            <w:shd w:val="clear" w:color="auto" w:fill="auto"/>
            <w:noWrap/>
            <w:vAlign w:val="center"/>
            <w:hideMark/>
          </w:tcPr>
          <w:p w14:paraId="04D2DB30"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6</w:t>
            </w:r>
          </w:p>
        </w:tc>
        <w:tc>
          <w:tcPr>
            <w:tcW w:w="1540" w:type="dxa"/>
            <w:shd w:val="clear" w:color="auto" w:fill="auto"/>
            <w:noWrap/>
            <w:vAlign w:val="center"/>
            <w:hideMark/>
          </w:tcPr>
          <w:p w14:paraId="282F756A"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5</w:t>
            </w:r>
          </w:p>
        </w:tc>
        <w:tc>
          <w:tcPr>
            <w:tcW w:w="1440" w:type="dxa"/>
            <w:shd w:val="clear" w:color="auto" w:fill="auto"/>
            <w:noWrap/>
            <w:vAlign w:val="center"/>
            <w:hideMark/>
          </w:tcPr>
          <w:p w14:paraId="3FB82718"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6</w:t>
            </w:r>
          </w:p>
        </w:tc>
      </w:tr>
      <w:tr w:rsidR="001D20C5" w:rsidRPr="001D20C5" w14:paraId="051CB1D4" w14:textId="77777777" w:rsidTr="001D20C5">
        <w:trPr>
          <w:trHeight w:val="315"/>
          <w:jc w:val="center"/>
        </w:trPr>
        <w:tc>
          <w:tcPr>
            <w:tcW w:w="4060" w:type="dxa"/>
            <w:shd w:val="clear" w:color="auto" w:fill="auto"/>
            <w:noWrap/>
            <w:vAlign w:val="center"/>
            <w:hideMark/>
          </w:tcPr>
          <w:p w14:paraId="757D9339"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Air Entrainer, (oz/cwt)</w:t>
            </w:r>
          </w:p>
        </w:tc>
        <w:tc>
          <w:tcPr>
            <w:tcW w:w="1540" w:type="dxa"/>
            <w:shd w:val="clear" w:color="auto" w:fill="auto"/>
            <w:noWrap/>
            <w:vAlign w:val="center"/>
            <w:hideMark/>
          </w:tcPr>
          <w:p w14:paraId="6D85EA1D" w14:textId="54DDA1A9"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w:t>
            </w:r>
            <w:r w:rsidR="007656E1">
              <w:rPr>
                <w:rFonts w:eastAsia="Times New Roman" w:cs="Times New Roman"/>
                <w:color w:val="000000"/>
                <w:szCs w:val="24"/>
              </w:rPr>
              <w:t>1</w:t>
            </w:r>
          </w:p>
        </w:tc>
        <w:tc>
          <w:tcPr>
            <w:tcW w:w="1540" w:type="dxa"/>
            <w:shd w:val="clear" w:color="auto" w:fill="auto"/>
            <w:noWrap/>
            <w:vAlign w:val="center"/>
            <w:hideMark/>
          </w:tcPr>
          <w:p w14:paraId="457356D7" w14:textId="33015A2A"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1.</w:t>
            </w:r>
            <w:r w:rsidR="007656E1">
              <w:rPr>
                <w:rFonts w:eastAsia="Times New Roman" w:cs="Times New Roman"/>
                <w:color w:val="000000"/>
                <w:szCs w:val="24"/>
              </w:rPr>
              <w:t>1</w:t>
            </w:r>
          </w:p>
        </w:tc>
        <w:tc>
          <w:tcPr>
            <w:tcW w:w="1440" w:type="dxa"/>
            <w:shd w:val="clear" w:color="auto" w:fill="auto"/>
            <w:noWrap/>
            <w:vAlign w:val="center"/>
            <w:hideMark/>
          </w:tcPr>
          <w:p w14:paraId="74D75D21"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0.6</w:t>
            </w:r>
          </w:p>
        </w:tc>
      </w:tr>
      <w:tr w:rsidR="001D20C5" w:rsidRPr="001D20C5" w14:paraId="120E40CE" w14:textId="77777777" w:rsidTr="001D20C5">
        <w:trPr>
          <w:trHeight w:val="315"/>
          <w:jc w:val="center"/>
        </w:trPr>
        <w:tc>
          <w:tcPr>
            <w:tcW w:w="4060" w:type="dxa"/>
            <w:shd w:val="clear" w:color="auto" w:fill="auto"/>
            <w:noWrap/>
            <w:vAlign w:val="center"/>
            <w:hideMark/>
          </w:tcPr>
          <w:p w14:paraId="38DEC8CA"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Mid-Range Water Reducer (oz/cwt)</w:t>
            </w:r>
          </w:p>
        </w:tc>
        <w:tc>
          <w:tcPr>
            <w:tcW w:w="1540" w:type="dxa"/>
            <w:shd w:val="clear" w:color="auto" w:fill="auto"/>
            <w:noWrap/>
            <w:vAlign w:val="center"/>
            <w:hideMark/>
          </w:tcPr>
          <w:p w14:paraId="55C9BEC1" w14:textId="2B09AE26"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4.</w:t>
            </w:r>
            <w:r w:rsidR="007656E1">
              <w:rPr>
                <w:rFonts w:eastAsia="Times New Roman" w:cs="Times New Roman"/>
                <w:color w:val="000000"/>
                <w:szCs w:val="24"/>
              </w:rPr>
              <w:t>2</w:t>
            </w:r>
          </w:p>
        </w:tc>
        <w:tc>
          <w:tcPr>
            <w:tcW w:w="1540" w:type="dxa"/>
            <w:shd w:val="clear" w:color="auto" w:fill="auto"/>
            <w:noWrap/>
            <w:vAlign w:val="center"/>
            <w:hideMark/>
          </w:tcPr>
          <w:p w14:paraId="37A7D5FE" w14:textId="55ECBE38"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7.4</w:t>
            </w:r>
          </w:p>
        </w:tc>
        <w:tc>
          <w:tcPr>
            <w:tcW w:w="1440" w:type="dxa"/>
            <w:shd w:val="clear" w:color="auto" w:fill="auto"/>
            <w:noWrap/>
            <w:vAlign w:val="center"/>
            <w:hideMark/>
          </w:tcPr>
          <w:p w14:paraId="3CC94FFC" w14:textId="6D3B1819"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8.</w:t>
            </w:r>
            <w:r w:rsidR="007656E1">
              <w:rPr>
                <w:rFonts w:eastAsia="Times New Roman" w:cs="Times New Roman"/>
                <w:color w:val="000000"/>
                <w:szCs w:val="24"/>
              </w:rPr>
              <w:t>8</w:t>
            </w:r>
          </w:p>
        </w:tc>
      </w:tr>
      <w:tr w:rsidR="001D20C5" w:rsidRPr="001D20C5" w14:paraId="0AD8B81F" w14:textId="77777777" w:rsidTr="001D20C5">
        <w:trPr>
          <w:trHeight w:val="330"/>
          <w:jc w:val="center"/>
        </w:trPr>
        <w:tc>
          <w:tcPr>
            <w:tcW w:w="4060" w:type="dxa"/>
            <w:shd w:val="clear" w:color="auto" w:fill="auto"/>
            <w:noWrap/>
            <w:vAlign w:val="center"/>
            <w:hideMark/>
          </w:tcPr>
          <w:p w14:paraId="47D8D289" w14:textId="77777777"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High-Range Water Reducer (oz/cwt)</w:t>
            </w:r>
          </w:p>
        </w:tc>
        <w:tc>
          <w:tcPr>
            <w:tcW w:w="1540" w:type="dxa"/>
            <w:shd w:val="clear" w:color="auto" w:fill="auto"/>
            <w:noWrap/>
            <w:vAlign w:val="center"/>
            <w:hideMark/>
          </w:tcPr>
          <w:p w14:paraId="6411B858" w14:textId="2C80DCC9"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r w:rsidR="007656E1">
              <w:rPr>
                <w:rFonts w:eastAsia="Times New Roman" w:cs="Times New Roman"/>
                <w:color w:val="000000"/>
                <w:szCs w:val="24"/>
              </w:rPr>
              <w:t>.0</w:t>
            </w:r>
          </w:p>
        </w:tc>
        <w:tc>
          <w:tcPr>
            <w:tcW w:w="1540" w:type="dxa"/>
            <w:shd w:val="clear" w:color="auto" w:fill="auto"/>
            <w:noWrap/>
            <w:vAlign w:val="center"/>
            <w:hideMark/>
          </w:tcPr>
          <w:p w14:paraId="16D9FB5C" w14:textId="1CEC90CE"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0</w:t>
            </w:r>
            <w:r w:rsidR="007656E1">
              <w:rPr>
                <w:rFonts w:eastAsia="Times New Roman" w:cs="Times New Roman"/>
                <w:color w:val="000000"/>
                <w:szCs w:val="24"/>
              </w:rPr>
              <w:t>.0</w:t>
            </w:r>
          </w:p>
        </w:tc>
        <w:tc>
          <w:tcPr>
            <w:tcW w:w="1440" w:type="dxa"/>
            <w:shd w:val="clear" w:color="auto" w:fill="auto"/>
            <w:noWrap/>
            <w:vAlign w:val="center"/>
            <w:hideMark/>
          </w:tcPr>
          <w:p w14:paraId="438CC7C5" w14:textId="4C1E20EA" w:rsidR="001D20C5" w:rsidRPr="001D20C5" w:rsidRDefault="001D20C5" w:rsidP="001D20C5">
            <w:pPr>
              <w:contextualSpacing w:val="0"/>
              <w:jc w:val="center"/>
              <w:rPr>
                <w:rFonts w:eastAsia="Times New Roman" w:cs="Times New Roman"/>
                <w:color w:val="000000"/>
                <w:szCs w:val="24"/>
              </w:rPr>
            </w:pPr>
            <w:r w:rsidRPr="001D20C5">
              <w:rPr>
                <w:rFonts w:eastAsia="Times New Roman" w:cs="Times New Roman"/>
                <w:color w:val="000000"/>
                <w:szCs w:val="24"/>
              </w:rPr>
              <w:t>7.</w:t>
            </w:r>
            <w:r w:rsidR="007656E1">
              <w:rPr>
                <w:rFonts w:eastAsia="Times New Roman" w:cs="Times New Roman"/>
                <w:color w:val="000000"/>
                <w:szCs w:val="24"/>
              </w:rPr>
              <w:t>3</w:t>
            </w:r>
          </w:p>
        </w:tc>
      </w:tr>
    </w:tbl>
    <w:p w14:paraId="3DC498C6" w14:textId="7C7BDC22" w:rsidR="001D20C5" w:rsidRDefault="001D20C5" w:rsidP="001D20C5">
      <w:pPr>
        <w:jc w:val="center"/>
      </w:pPr>
    </w:p>
    <w:p w14:paraId="36B8F50B" w14:textId="70558221" w:rsidR="00493623" w:rsidRDefault="00493623" w:rsidP="00493623">
      <w:pPr>
        <w:ind w:firstLine="720"/>
      </w:pPr>
      <w:r>
        <w:t>Six 1.06-cubic foot batches of each mixture were made with each batch consisting of sixteen four-inch by eight-inch cylinders. Sets of four cylinders within each batch were subjected to a certain amount of immersion curing time, namely 0, 3, 7 and 14 days.</w:t>
      </w:r>
      <w:r w:rsidR="000D6585">
        <w:t xml:space="preserve"> The lime-water immersion curing </w:t>
      </w:r>
      <w:r w:rsidR="007656E1">
        <w:t>conforms</w:t>
      </w:r>
      <w:r w:rsidR="000D6585">
        <w:t xml:space="preserve"> to ASTM C192 specifications</w:t>
      </w:r>
      <w:r w:rsidR="00DB36FE">
        <w:t xml:space="preserve"> (9)</w:t>
      </w:r>
      <w:r w:rsidR="000D6585">
        <w:t>.</w:t>
      </w:r>
      <w:r>
        <w:t xml:space="preserve"> Once the sets of cylinders had reached their prescribed amount of curing, they were removed from the immersion tank and left to air cure at room temperature. This</w:t>
      </w:r>
      <w:r w:rsidR="00A906B8">
        <w:t xml:space="preserve"> curing</w:t>
      </w:r>
      <w:r>
        <w:t xml:space="preserve"> </w:t>
      </w:r>
      <w:r w:rsidR="00A906B8">
        <w:t>schedule can be seen in Table 2.</w:t>
      </w:r>
    </w:p>
    <w:p w14:paraId="24F19BBB" w14:textId="63F020C2" w:rsidR="00A906B8" w:rsidRDefault="00A906B8" w:rsidP="00A906B8"/>
    <w:p w14:paraId="0E25ABCA" w14:textId="244C63D7" w:rsidR="00A906B8" w:rsidRDefault="00A906B8" w:rsidP="00A906B8">
      <w:pPr>
        <w:jc w:val="center"/>
      </w:pPr>
      <w:r w:rsidRPr="00A906B8">
        <w:rPr>
          <w:b/>
        </w:rPr>
        <w:t>Table 2.</w:t>
      </w:r>
      <w:r>
        <w:t xml:space="preserve"> Type of Curing Leading Up to Age</w:t>
      </w:r>
    </w:p>
    <w:p w14:paraId="219F0187" w14:textId="6C0A6A63" w:rsidR="00A906B8" w:rsidRDefault="00A906B8" w:rsidP="00A906B8">
      <w:pPr>
        <w:jc w:val="cente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350"/>
        <w:gridCol w:w="1256"/>
        <w:gridCol w:w="1407"/>
        <w:gridCol w:w="1407"/>
        <w:gridCol w:w="1150"/>
        <w:gridCol w:w="1331"/>
      </w:tblGrid>
      <w:tr w:rsidR="0001293E" w:rsidRPr="0001293E" w14:paraId="7F2505C7" w14:textId="77777777" w:rsidTr="0001293E">
        <w:trPr>
          <w:trHeight w:val="315"/>
          <w:jc w:val="center"/>
        </w:trPr>
        <w:tc>
          <w:tcPr>
            <w:tcW w:w="1345" w:type="dxa"/>
            <w:vMerge w:val="restart"/>
            <w:shd w:val="clear" w:color="auto" w:fill="auto"/>
            <w:noWrap/>
            <w:vAlign w:val="center"/>
            <w:hideMark/>
          </w:tcPr>
          <w:p w14:paraId="5D1CE28A"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Cylinder IDs</w:t>
            </w:r>
          </w:p>
        </w:tc>
        <w:tc>
          <w:tcPr>
            <w:tcW w:w="7901" w:type="dxa"/>
            <w:gridSpan w:val="6"/>
            <w:shd w:val="clear" w:color="auto" w:fill="auto"/>
            <w:noWrap/>
            <w:vAlign w:val="center"/>
            <w:hideMark/>
          </w:tcPr>
          <w:p w14:paraId="382BB0A9"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Age (days)</w:t>
            </w:r>
          </w:p>
        </w:tc>
      </w:tr>
      <w:tr w:rsidR="0001293E" w:rsidRPr="0001293E" w14:paraId="546B7076" w14:textId="77777777" w:rsidTr="0001293E">
        <w:trPr>
          <w:trHeight w:val="315"/>
          <w:jc w:val="center"/>
        </w:trPr>
        <w:tc>
          <w:tcPr>
            <w:tcW w:w="1345" w:type="dxa"/>
            <w:vMerge/>
            <w:vAlign w:val="center"/>
            <w:hideMark/>
          </w:tcPr>
          <w:p w14:paraId="4A5BA0F3" w14:textId="77777777" w:rsidR="0001293E" w:rsidRPr="0001293E" w:rsidRDefault="0001293E" w:rsidP="0001293E">
            <w:pPr>
              <w:contextualSpacing w:val="0"/>
              <w:rPr>
                <w:rFonts w:eastAsia="Times New Roman" w:cs="Times New Roman"/>
                <w:color w:val="000000"/>
                <w:szCs w:val="24"/>
              </w:rPr>
            </w:pPr>
          </w:p>
        </w:tc>
        <w:tc>
          <w:tcPr>
            <w:tcW w:w="1350" w:type="dxa"/>
            <w:shd w:val="clear" w:color="auto" w:fill="auto"/>
            <w:noWrap/>
            <w:vAlign w:val="center"/>
            <w:hideMark/>
          </w:tcPr>
          <w:p w14:paraId="383A5548"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0 to 1</w:t>
            </w:r>
          </w:p>
        </w:tc>
        <w:tc>
          <w:tcPr>
            <w:tcW w:w="1256" w:type="dxa"/>
            <w:shd w:val="clear" w:color="auto" w:fill="auto"/>
            <w:noWrap/>
            <w:vAlign w:val="center"/>
            <w:hideMark/>
          </w:tcPr>
          <w:p w14:paraId="30E67E2E"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1 to 3</w:t>
            </w:r>
          </w:p>
        </w:tc>
        <w:tc>
          <w:tcPr>
            <w:tcW w:w="1407" w:type="dxa"/>
            <w:shd w:val="clear" w:color="auto" w:fill="auto"/>
            <w:noWrap/>
            <w:vAlign w:val="center"/>
            <w:hideMark/>
          </w:tcPr>
          <w:p w14:paraId="15836815"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3 to 7</w:t>
            </w:r>
          </w:p>
        </w:tc>
        <w:tc>
          <w:tcPr>
            <w:tcW w:w="1407" w:type="dxa"/>
            <w:shd w:val="clear" w:color="auto" w:fill="auto"/>
            <w:noWrap/>
            <w:vAlign w:val="center"/>
            <w:hideMark/>
          </w:tcPr>
          <w:p w14:paraId="6D3C9809"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7 to 14</w:t>
            </w:r>
          </w:p>
        </w:tc>
        <w:tc>
          <w:tcPr>
            <w:tcW w:w="1150" w:type="dxa"/>
            <w:shd w:val="clear" w:color="auto" w:fill="auto"/>
            <w:noWrap/>
            <w:vAlign w:val="center"/>
            <w:hideMark/>
          </w:tcPr>
          <w:p w14:paraId="48A18A21"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14 to 26</w:t>
            </w:r>
          </w:p>
        </w:tc>
        <w:tc>
          <w:tcPr>
            <w:tcW w:w="1331" w:type="dxa"/>
            <w:shd w:val="clear" w:color="auto" w:fill="auto"/>
            <w:noWrap/>
            <w:vAlign w:val="center"/>
            <w:hideMark/>
          </w:tcPr>
          <w:p w14:paraId="783CED60"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26 to 28</w:t>
            </w:r>
          </w:p>
        </w:tc>
      </w:tr>
      <w:tr w:rsidR="0001293E" w:rsidRPr="0001293E" w14:paraId="05098A58" w14:textId="77777777" w:rsidTr="0001293E">
        <w:trPr>
          <w:trHeight w:val="315"/>
          <w:jc w:val="center"/>
        </w:trPr>
        <w:tc>
          <w:tcPr>
            <w:tcW w:w="1345" w:type="dxa"/>
            <w:shd w:val="clear" w:color="auto" w:fill="auto"/>
            <w:noWrap/>
            <w:vAlign w:val="center"/>
            <w:hideMark/>
          </w:tcPr>
          <w:p w14:paraId="38C650FC" w14:textId="71FA215D"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1-4</w:t>
            </w:r>
          </w:p>
        </w:tc>
        <w:tc>
          <w:tcPr>
            <w:tcW w:w="1350" w:type="dxa"/>
            <w:shd w:val="clear" w:color="auto" w:fill="auto"/>
            <w:noWrap/>
            <w:vAlign w:val="center"/>
            <w:hideMark/>
          </w:tcPr>
          <w:p w14:paraId="2B1D9F87"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Mold</w:t>
            </w:r>
          </w:p>
        </w:tc>
        <w:tc>
          <w:tcPr>
            <w:tcW w:w="1256" w:type="dxa"/>
            <w:shd w:val="clear" w:color="auto" w:fill="auto"/>
            <w:noWrap/>
            <w:vAlign w:val="center"/>
            <w:hideMark/>
          </w:tcPr>
          <w:p w14:paraId="2A7DB890"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407" w:type="dxa"/>
            <w:shd w:val="clear" w:color="auto" w:fill="auto"/>
            <w:noWrap/>
            <w:vAlign w:val="center"/>
            <w:hideMark/>
          </w:tcPr>
          <w:p w14:paraId="341E40D5"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407" w:type="dxa"/>
            <w:shd w:val="clear" w:color="auto" w:fill="auto"/>
            <w:noWrap/>
            <w:vAlign w:val="center"/>
            <w:hideMark/>
          </w:tcPr>
          <w:p w14:paraId="07AA0107"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150" w:type="dxa"/>
            <w:shd w:val="clear" w:color="auto" w:fill="auto"/>
            <w:noWrap/>
            <w:vAlign w:val="center"/>
            <w:hideMark/>
          </w:tcPr>
          <w:p w14:paraId="1FF60E43"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331" w:type="dxa"/>
            <w:shd w:val="clear" w:color="auto" w:fill="auto"/>
            <w:noWrap/>
            <w:vAlign w:val="center"/>
            <w:hideMark/>
          </w:tcPr>
          <w:p w14:paraId="3D8DD3F7"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r>
      <w:tr w:rsidR="0001293E" w:rsidRPr="0001293E" w14:paraId="399B326B" w14:textId="77777777" w:rsidTr="0001293E">
        <w:trPr>
          <w:trHeight w:val="315"/>
          <w:jc w:val="center"/>
        </w:trPr>
        <w:tc>
          <w:tcPr>
            <w:tcW w:w="1345" w:type="dxa"/>
            <w:shd w:val="clear" w:color="auto" w:fill="auto"/>
            <w:noWrap/>
            <w:vAlign w:val="center"/>
            <w:hideMark/>
          </w:tcPr>
          <w:p w14:paraId="5A0CFCC0" w14:textId="23DEDAC8"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5-8</w:t>
            </w:r>
          </w:p>
        </w:tc>
        <w:tc>
          <w:tcPr>
            <w:tcW w:w="1350" w:type="dxa"/>
            <w:shd w:val="clear" w:color="auto" w:fill="auto"/>
            <w:noWrap/>
            <w:vAlign w:val="center"/>
            <w:hideMark/>
          </w:tcPr>
          <w:p w14:paraId="3F494717"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Mold</w:t>
            </w:r>
          </w:p>
        </w:tc>
        <w:tc>
          <w:tcPr>
            <w:tcW w:w="1256" w:type="dxa"/>
            <w:shd w:val="clear" w:color="auto" w:fill="auto"/>
            <w:noWrap/>
            <w:vAlign w:val="center"/>
            <w:hideMark/>
          </w:tcPr>
          <w:p w14:paraId="79390210"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407" w:type="dxa"/>
            <w:shd w:val="clear" w:color="auto" w:fill="auto"/>
            <w:noWrap/>
            <w:vAlign w:val="center"/>
            <w:hideMark/>
          </w:tcPr>
          <w:p w14:paraId="1B110F4F"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407" w:type="dxa"/>
            <w:shd w:val="clear" w:color="auto" w:fill="auto"/>
            <w:noWrap/>
            <w:vAlign w:val="center"/>
            <w:hideMark/>
          </w:tcPr>
          <w:p w14:paraId="788507F6"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150" w:type="dxa"/>
            <w:shd w:val="clear" w:color="auto" w:fill="auto"/>
            <w:noWrap/>
            <w:vAlign w:val="center"/>
            <w:hideMark/>
          </w:tcPr>
          <w:p w14:paraId="228F6666"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331" w:type="dxa"/>
            <w:shd w:val="clear" w:color="auto" w:fill="auto"/>
            <w:noWrap/>
            <w:vAlign w:val="center"/>
            <w:hideMark/>
          </w:tcPr>
          <w:p w14:paraId="72581E9C"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r>
      <w:tr w:rsidR="0001293E" w:rsidRPr="0001293E" w14:paraId="0B6DA258" w14:textId="77777777" w:rsidTr="0001293E">
        <w:trPr>
          <w:trHeight w:val="315"/>
          <w:jc w:val="center"/>
        </w:trPr>
        <w:tc>
          <w:tcPr>
            <w:tcW w:w="1345" w:type="dxa"/>
            <w:shd w:val="clear" w:color="auto" w:fill="auto"/>
            <w:noWrap/>
            <w:vAlign w:val="center"/>
            <w:hideMark/>
          </w:tcPr>
          <w:p w14:paraId="11EA1481" w14:textId="377BF702"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9-12</w:t>
            </w:r>
          </w:p>
        </w:tc>
        <w:tc>
          <w:tcPr>
            <w:tcW w:w="1350" w:type="dxa"/>
            <w:shd w:val="clear" w:color="auto" w:fill="auto"/>
            <w:noWrap/>
            <w:vAlign w:val="center"/>
            <w:hideMark/>
          </w:tcPr>
          <w:p w14:paraId="5C216656"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Mold</w:t>
            </w:r>
          </w:p>
        </w:tc>
        <w:tc>
          <w:tcPr>
            <w:tcW w:w="1256" w:type="dxa"/>
            <w:shd w:val="clear" w:color="auto" w:fill="auto"/>
            <w:noWrap/>
            <w:vAlign w:val="center"/>
            <w:hideMark/>
          </w:tcPr>
          <w:p w14:paraId="085FEA68"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407" w:type="dxa"/>
            <w:shd w:val="clear" w:color="auto" w:fill="auto"/>
            <w:noWrap/>
            <w:vAlign w:val="center"/>
            <w:hideMark/>
          </w:tcPr>
          <w:p w14:paraId="62B0403E"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407" w:type="dxa"/>
            <w:shd w:val="clear" w:color="auto" w:fill="auto"/>
            <w:noWrap/>
            <w:vAlign w:val="center"/>
            <w:hideMark/>
          </w:tcPr>
          <w:p w14:paraId="1E9D67A9"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150" w:type="dxa"/>
            <w:shd w:val="clear" w:color="auto" w:fill="auto"/>
            <w:noWrap/>
            <w:vAlign w:val="center"/>
            <w:hideMark/>
          </w:tcPr>
          <w:p w14:paraId="179E8FC5"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331" w:type="dxa"/>
            <w:shd w:val="clear" w:color="auto" w:fill="auto"/>
            <w:noWrap/>
            <w:vAlign w:val="center"/>
            <w:hideMark/>
          </w:tcPr>
          <w:p w14:paraId="38FE3615"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r>
      <w:tr w:rsidR="0001293E" w:rsidRPr="0001293E" w14:paraId="112665C1" w14:textId="77777777" w:rsidTr="0001293E">
        <w:trPr>
          <w:trHeight w:val="315"/>
          <w:jc w:val="center"/>
        </w:trPr>
        <w:tc>
          <w:tcPr>
            <w:tcW w:w="1345" w:type="dxa"/>
            <w:shd w:val="clear" w:color="auto" w:fill="auto"/>
            <w:noWrap/>
            <w:vAlign w:val="center"/>
            <w:hideMark/>
          </w:tcPr>
          <w:p w14:paraId="07F9ADDD" w14:textId="29BFE51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13-16</w:t>
            </w:r>
          </w:p>
        </w:tc>
        <w:tc>
          <w:tcPr>
            <w:tcW w:w="1350" w:type="dxa"/>
            <w:shd w:val="clear" w:color="auto" w:fill="auto"/>
            <w:noWrap/>
            <w:vAlign w:val="center"/>
            <w:hideMark/>
          </w:tcPr>
          <w:p w14:paraId="108FAAFD"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Mold</w:t>
            </w:r>
          </w:p>
        </w:tc>
        <w:tc>
          <w:tcPr>
            <w:tcW w:w="1256" w:type="dxa"/>
            <w:shd w:val="clear" w:color="auto" w:fill="auto"/>
            <w:noWrap/>
            <w:vAlign w:val="center"/>
            <w:hideMark/>
          </w:tcPr>
          <w:p w14:paraId="729F6C1F"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407" w:type="dxa"/>
            <w:shd w:val="clear" w:color="auto" w:fill="auto"/>
            <w:noWrap/>
            <w:vAlign w:val="center"/>
            <w:hideMark/>
          </w:tcPr>
          <w:p w14:paraId="6903D4A6"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407" w:type="dxa"/>
            <w:shd w:val="clear" w:color="auto" w:fill="auto"/>
            <w:noWrap/>
            <w:vAlign w:val="center"/>
            <w:hideMark/>
          </w:tcPr>
          <w:p w14:paraId="5301DA04"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c>
          <w:tcPr>
            <w:tcW w:w="1150" w:type="dxa"/>
            <w:shd w:val="clear" w:color="auto" w:fill="auto"/>
            <w:noWrap/>
            <w:vAlign w:val="center"/>
            <w:hideMark/>
          </w:tcPr>
          <w:p w14:paraId="0915B302"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Air</w:t>
            </w:r>
          </w:p>
        </w:tc>
        <w:tc>
          <w:tcPr>
            <w:tcW w:w="1331" w:type="dxa"/>
            <w:shd w:val="clear" w:color="auto" w:fill="auto"/>
            <w:noWrap/>
            <w:vAlign w:val="center"/>
            <w:hideMark/>
          </w:tcPr>
          <w:p w14:paraId="20810841" w14:textId="77777777" w:rsidR="0001293E" w:rsidRPr="0001293E" w:rsidRDefault="0001293E" w:rsidP="0001293E">
            <w:pPr>
              <w:contextualSpacing w:val="0"/>
              <w:jc w:val="center"/>
              <w:rPr>
                <w:rFonts w:eastAsia="Times New Roman" w:cs="Times New Roman"/>
                <w:color w:val="000000"/>
                <w:szCs w:val="24"/>
              </w:rPr>
            </w:pPr>
            <w:r w:rsidRPr="0001293E">
              <w:rPr>
                <w:rFonts w:eastAsia="Times New Roman" w:cs="Times New Roman"/>
                <w:color w:val="000000"/>
                <w:szCs w:val="24"/>
              </w:rPr>
              <w:t>Immersion</w:t>
            </w:r>
          </w:p>
        </w:tc>
      </w:tr>
    </w:tbl>
    <w:p w14:paraId="3E01BCE4" w14:textId="63B85037" w:rsidR="00A906B8" w:rsidRDefault="00A906B8" w:rsidP="0001293E">
      <w:pPr>
        <w:jc w:val="center"/>
      </w:pPr>
    </w:p>
    <w:p w14:paraId="30EA4292" w14:textId="0DB34E0F" w:rsidR="00A906B8" w:rsidRDefault="00A906B8" w:rsidP="00A906B8">
      <w:r>
        <w:tab/>
      </w:r>
      <w:r w:rsidR="000D6585">
        <w:t xml:space="preserve">At </w:t>
      </w:r>
      <w:r w:rsidR="000956E8">
        <w:t>28 days</w:t>
      </w:r>
      <w:r w:rsidR="000D6585">
        <w:t>, three out of four cylinders of each set were tested for chloride ion penetration</w:t>
      </w:r>
      <w:r w:rsidR="000956E8">
        <w:t xml:space="preserve"> via</w:t>
      </w:r>
      <w:r w:rsidR="000D6585">
        <w:t xml:space="preserve"> surface resistivity</w:t>
      </w:r>
      <w:r w:rsidR="000956E8">
        <w:t xml:space="preserve"> (SR). In order to </w:t>
      </w:r>
      <w:r w:rsidR="00F946A9">
        <w:t>conform</w:t>
      </w:r>
      <w:r w:rsidR="000956E8">
        <w:t xml:space="preserve"> to SR’s </w:t>
      </w:r>
      <w:r w:rsidR="00D12049">
        <w:t>test method</w:t>
      </w:r>
      <w:r w:rsidR="00912A0D">
        <w:t xml:space="preserve">, </w:t>
      </w:r>
      <w:r w:rsidR="000956E8">
        <w:t>AASHTO T358-17</w:t>
      </w:r>
      <w:r w:rsidR="00912A0D">
        <w:t>,</w:t>
      </w:r>
      <w:r w:rsidR="000956E8">
        <w:t xml:space="preserve"> of testing saturated cylinders, every cylinder was placed back into the curing tank 48 hours prior to testing</w:t>
      </w:r>
      <w:r w:rsidR="00DB36FE">
        <w:t xml:space="preserve"> (10)</w:t>
      </w:r>
      <w:r w:rsidR="000956E8">
        <w:t>. This was done so as not to provide any additional curing as well as to provide moisture for adequate testing. Compressive strength and tensile strength were also tested at 28 days, directly after SR had taken place due to its non-destructive nature.</w:t>
      </w:r>
      <w:r w:rsidR="00C15940">
        <w:t xml:space="preserve"> Two cylinders of each set were tested in compression, and the other two were tested in tensile.</w:t>
      </w:r>
      <w:r w:rsidR="000956E8">
        <w:t xml:space="preserve"> Compressive strength was tested in accordance to ASTM C39, and tensile strength was tested in accordance to ASTM C496</w:t>
      </w:r>
      <w:r w:rsidR="00DB36FE">
        <w:t xml:space="preserve"> (11, 12)</w:t>
      </w:r>
      <w:r w:rsidR="00A77437">
        <w:t>.</w:t>
      </w:r>
    </w:p>
    <w:p w14:paraId="678E1A7C" w14:textId="519AEB9A" w:rsidR="007D78F9" w:rsidRDefault="007D78F9" w:rsidP="00A906B8"/>
    <w:p w14:paraId="3F4D43A5" w14:textId="6310035E" w:rsidR="007D78F9" w:rsidRDefault="007D78F9" w:rsidP="007D78F9">
      <w:pPr>
        <w:pStyle w:val="Heading1"/>
      </w:pPr>
      <w:r>
        <w:lastRenderedPageBreak/>
        <w:t>Results</w:t>
      </w:r>
    </w:p>
    <w:p w14:paraId="785E22B5" w14:textId="4E6679BB" w:rsidR="007D78F9" w:rsidRDefault="007D78F9" w:rsidP="007D78F9"/>
    <w:p w14:paraId="4C58DE10" w14:textId="5082D2A4" w:rsidR="007D78F9" w:rsidRDefault="00D61393" w:rsidP="007D78F9">
      <w:r>
        <w:tab/>
        <w:t>The results for SR of each mixture at each curing age is shown in Table 3. Tables 4 and 5 display the results for compressive strength and tensile strength, respectively.</w:t>
      </w:r>
    </w:p>
    <w:p w14:paraId="45D7CC79" w14:textId="02CC1135" w:rsidR="00D61393" w:rsidRDefault="00D61393" w:rsidP="007D78F9"/>
    <w:p w14:paraId="69BCCA29" w14:textId="09C15845" w:rsidR="00D61393" w:rsidRDefault="00D61393" w:rsidP="00D61393">
      <w:pPr>
        <w:jc w:val="center"/>
      </w:pPr>
      <w:r w:rsidRPr="00D61393">
        <w:rPr>
          <w:b/>
        </w:rPr>
        <w:t>Table 3.</w:t>
      </w:r>
      <w:r>
        <w:rPr>
          <w:b/>
        </w:rPr>
        <w:t xml:space="preserve"> </w:t>
      </w:r>
      <w:r w:rsidR="00D11BFA">
        <w:t xml:space="preserve">28-day </w:t>
      </w:r>
      <w:r>
        <w:t>SR Results, kilohm-cm</w:t>
      </w:r>
    </w:p>
    <w:p w14:paraId="59D92FAC" w14:textId="7C06D1AA" w:rsidR="00D61393" w:rsidRDefault="00D61393" w:rsidP="00D61393">
      <w:pPr>
        <w:jc w:val="center"/>
      </w:pPr>
    </w:p>
    <w:tbl>
      <w:tblPr>
        <w:tblW w:w="9560" w:type="dxa"/>
        <w:jc w:val="center"/>
        <w:tblLook w:val="04A0" w:firstRow="1" w:lastRow="0" w:firstColumn="1" w:lastColumn="0" w:noHBand="0" w:noVBand="1"/>
      </w:tblPr>
      <w:tblGrid>
        <w:gridCol w:w="1403"/>
        <w:gridCol w:w="1080"/>
        <w:gridCol w:w="900"/>
        <w:gridCol w:w="900"/>
        <w:gridCol w:w="900"/>
        <w:gridCol w:w="900"/>
        <w:gridCol w:w="900"/>
        <w:gridCol w:w="900"/>
        <w:gridCol w:w="900"/>
        <w:gridCol w:w="900"/>
      </w:tblGrid>
      <w:tr w:rsidR="00D61393" w:rsidRPr="00D61393" w14:paraId="2E758007" w14:textId="77777777" w:rsidTr="00D61393">
        <w:trPr>
          <w:trHeight w:val="458"/>
          <w:jc w:val="center"/>
        </w:trPr>
        <w:tc>
          <w:tcPr>
            <w:tcW w:w="12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360FA0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Mixture</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A64EF0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Curing Age (days)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D31DB0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1</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CAB363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2</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F4AA93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3</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E49FA9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4</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71F76B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5</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D1AB1C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Batch 6</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233B4B"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Mean</w:t>
            </w:r>
          </w:p>
        </w:tc>
        <w:tc>
          <w:tcPr>
            <w:tcW w:w="90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6A68CD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Range</w:t>
            </w:r>
          </w:p>
        </w:tc>
      </w:tr>
      <w:tr w:rsidR="00D61393" w:rsidRPr="00D61393" w14:paraId="3C2DDFC8" w14:textId="77777777" w:rsidTr="00D61393">
        <w:trPr>
          <w:trHeight w:val="458"/>
          <w:jc w:val="center"/>
        </w:trPr>
        <w:tc>
          <w:tcPr>
            <w:tcW w:w="1280" w:type="dxa"/>
            <w:vMerge/>
            <w:tcBorders>
              <w:top w:val="single" w:sz="4" w:space="0" w:color="auto"/>
              <w:left w:val="single" w:sz="12" w:space="0" w:color="auto"/>
              <w:bottom w:val="single" w:sz="4" w:space="0" w:color="auto"/>
              <w:right w:val="single" w:sz="4" w:space="0" w:color="auto"/>
            </w:tcBorders>
            <w:vAlign w:val="center"/>
            <w:hideMark/>
          </w:tcPr>
          <w:p w14:paraId="6CBD4C4E" w14:textId="77777777" w:rsidR="00D61393" w:rsidRPr="00D61393" w:rsidRDefault="00D61393" w:rsidP="00D61393">
            <w:pPr>
              <w:contextualSpacing w:val="0"/>
              <w:rPr>
                <w:rFonts w:eastAsia="Times New Roman" w:cs="Times New Roman"/>
                <w:color w:val="000000"/>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5253C48"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0865804"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CEB84B1"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24E623A"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41B2283"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007D475"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76E5051"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E0BF5A9" w14:textId="77777777" w:rsidR="00D61393" w:rsidRPr="00D61393" w:rsidRDefault="00D61393" w:rsidP="00D61393">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12" w:space="0" w:color="auto"/>
            </w:tcBorders>
            <w:vAlign w:val="center"/>
            <w:hideMark/>
          </w:tcPr>
          <w:p w14:paraId="2BDC441D" w14:textId="77777777" w:rsidR="00D61393" w:rsidRPr="00D61393" w:rsidRDefault="00D61393" w:rsidP="00D61393">
            <w:pPr>
              <w:contextualSpacing w:val="0"/>
              <w:rPr>
                <w:rFonts w:eastAsia="Times New Roman" w:cs="Times New Roman"/>
                <w:color w:val="000000"/>
                <w:szCs w:val="24"/>
              </w:rPr>
            </w:pPr>
          </w:p>
        </w:tc>
      </w:tr>
      <w:tr w:rsidR="00D61393" w:rsidRPr="00D61393" w14:paraId="4F32D11E" w14:textId="77777777" w:rsidTr="00D61393">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vAlign w:val="center"/>
            <w:hideMark/>
          </w:tcPr>
          <w:p w14:paraId="46EECDE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Commercial 3500</w:t>
            </w:r>
          </w:p>
        </w:tc>
        <w:tc>
          <w:tcPr>
            <w:tcW w:w="1080" w:type="dxa"/>
            <w:tcBorders>
              <w:top w:val="nil"/>
              <w:left w:val="nil"/>
              <w:bottom w:val="single" w:sz="4" w:space="0" w:color="auto"/>
              <w:right w:val="single" w:sz="4" w:space="0" w:color="auto"/>
            </w:tcBorders>
            <w:shd w:val="clear" w:color="auto" w:fill="auto"/>
            <w:noWrap/>
            <w:vAlign w:val="center"/>
            <w:hideMark/>
          </w:tcPr>
          <w:p w14:paraId="525EE7D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1DF229A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6.7</w:t>
            </w:r>
          </w:p>
        </w:tc>
        <w:tc>
          <w:tcPr>
            <w:tcW w:w="900" w:type="dxa"/>
            <w:tcBorders>
              <w:top w:val="nil"/>
              <w:left w:val="nil"/>
              <w:bottom w:val="single" w:sz="4" w:space="0" w:color="auto"/>
              <w:right w:val="single" w:sz="4" w:space="0" w:color="auto"/>
            </w:tcBorders>
            <w:shd w:val="clear" w:color="auto" w:fill="auto"/>
            <w:noWrap/>
            <w:vAlign w:val="center"/>
            <w:hideMark/>
          </w:tcPr>
          <w:p w14:paraId="6E33FA9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6.4</w:t>
            </w:r>
          </w:p>
        </w:tc>
        <w:tc>
          <w:tcPr>
            <w:tcW w:w="900" w:type="dxa"/>
            <w:tcBorders>
              <w:top w:val="nil"/>
              <w:left w:val="nil"/>
              <w:bottom w:val="single" w:sz="4" w:space="0" w:color="auto"/>
              <w:right w:val="single" w:sz="4" w:space="0" w:color="auto"/>
            </w:tcBorders>
            <w:shd w:val="clear" w:color="auto" w:fill="auto"/>
            <w:noWrap/>
            <w:vAlign w:val="center"/>
            <w:hideMark/>
          </w:tcPr>
          <w:p w14:paraId="5B21BC1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6.8</w:t>
            </w:r>
          </w:p>
        </w:tc>
        <w:tc>
          <w:tcPr>
            <w:tcW w:w="900" w:type="dxa"/>
            <w:tcBorders>
              <w:top w:val="nil"/>
              <w:left w:val="nil"/>
              <w:bottom w:val="single" w:sz="4" w:space="0" w:color="auto"/>
              <w:right w:val="single" w:sz="4" w:space="0" w:color="auto"/>
            </w:tcBorders>
            <w:shd w:val="clear" w:color="auto" w:fill="auto"/>
            <w:noWrap/>
            <w:vAlign w:val="center"/>
            <w:hideMark/>
          </w:tcPr>
          <w:p w14:paraId="383A7A2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7.0</w:t>
            </w:r>
          </w:p>
        </w:tc>
        <w:tc>
          <w:tcPr>
            <w:tcW w:w="900" w:type="dxa"/>
            <w:tcBorders>
              <w:top w:val="nil"/>
              <w:left w:val="nil"/>
              <w:bottom w:val="single" w:sz="4" w:space="0" w:color="auto"/>
              <w:right w:val="single" w:sz="4" w:space="0" w:color="auto"/>
            </w:tcBorders>
            <w:shd w:val="clear" w:color="auto" w:fill="auto"/>
            <w:noWrap/>
            <w:vAlign w:val="center"/>
            <w:hideMark/>
          </w:tcPr>
          <w:p w14:paraId="366E01C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6.7</w:t>
            </w:r>
          </w:p>
        </w:tc>
        <w:tc>
          <w:tcPr>
            <w:tcW w:w="900" w:type="dxa"/>
            <w:tcBorders>
              <w:top w:val="nil"/>
              <w:left w:val="nil"/>
              <w:bottom w:val="single" w:sz="4" w:space="0" w:color="auto"/>
              <w:right w:val="single" w:sz="4" w:space="0" w:color="auto"/>
            </w:tcBorders>
            <w:shd w:val="clear" w:color="auto" w:fill="auto"/>
            <w:noWrap/>
            <w:vAlign w:val="center"/>
            <w:hideMark/>
          </w:tcPr>
          <w:p w14:paraId="35477C5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6.0</w:t>
            </w:r>
          </w:p>
        </w:tc>
        <w:tc>
          <w:tcPr>
            <w:tcW w:w="900" w:type="dxa"/>
            <w:tcBorders>
              <w:top w:val="nil"/>
              <w:left w:val="nil"/>
              <w:bottom w:val="single" w:sz="4" w:space="0" w:color="auto"/>
              <w:right w:val="single" w:sz="4" w:space="0" w:color="auto"/>
            </w:tcBorders>
            <w:shd w:val="clear" w:color="auto" w:fill="auto"/>
            <w:noWrap/>
            <w:vAlign w:val="center"/>
            <w:hideMark/>
          </w:tcPr>
          <w:p w14:paraId="127B282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6.6</w:t>
            </w:r>
          </w:p>
        </w:tc>
        <w:tc>
          <w:tcPr>
            <w:tcW w:w="900" w:type="dxa"/>
            <w:tcBorders>
              <w:top w:val="nil"/>
              <w:left w:val="nil"/>
              <w:bottom w:val="single" w:sz="4" w:space="0" w:color="auto"/>
              <w:right w:val="single" w:sz="12" w:space="0" w:color="auto"/>
            </w:tcBorders>
            <w:shd w:val="clear" w:color="auto" w:fill="auto"/>
            <w:noWrap/>
            <w:vAlign w:val="center"/>
            <w:hideMark/>
          </w:tcPr>
          <w:p w14:paraId="19BEFE6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3.3</w:t>
            </w:r>
          </w:p>
        </w:tc>
      </w:tr>
      <w:tr w:rsidR="00D61393" w:rsidRPr="00D61393" w14:paraId="4E2143C5"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6B8D56F8"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284E579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6082FA1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7.2</w:t>
            </w:r>
          </w:p>
        </w:tc>
        <w:tc>
          <w:tcPr>
            <w:tcW w:w="900" w:type="dxa"/>
            <w:tcBorders>
              <w:top w:val="nil"/>
              <w:left w:val="nil"/>
              <w:bottom w:val="single" w:sz="4" w:space="0" w:color="auto"/>
              <w:right w:val="single" w:sz="4" w:space="0" w:color="auto"/>
            </w:tcBorders>
            <w:shd w:val="clear" w:color="auto" w:fill="auto"/>
            <w:noWrap/>
            <w:vAlign w:val="center"/>
            <w:hideMark/>
          </w:tcPr>
          <w:p w14:paraId="1BC24EE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7.3</w:t>
            </w:r>
          </w:p>
        </w:tc>
        <w:tc>
          <w:tcPr>
            <w:tcW w:w="900" w:type="dxa"/>
            <w:tcBorders>
              <w:top w:val="nil"/>
              <w:left w:val="nil"/>
              <w:bottom w:val="single" w:sz="4" w:space="0" w:color="auto"/>
              <w:right w:val="single" w:sz="4" w:space="0" w:color="auto"/>
            </w:tcBorders>
            <w:shd w:val="clear" w:color="auto" w:fill="auto"/>
            <w:noWrap/>
            <w:vAlign w:val="center"/>
            <w:hideMark/>
          </w:tcPr>
          <w:p w14:paraId="085AC7D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7.9</w:t>
            </w:r>
          </w:p>
        </w:tc>
        <w:tc>
          <w:tcPr>
            <w:tcW w:w="900" w:type="dxa"/>
            <w:tcBorders>
              <w:top w:val="nil"/>
              <w:left w:val="nil"/>
              <w:bottom w:val="single" w:sz="4" w:space="0" w:color="auto"/>
              <w:right w:val="single" w:sz="4" w:space="0" w:color="auto"/>
            </w:tcBorders>
            <w:shd w:val="clear" w:color="auto" w:fill="auto"/>
            <w:noWrap/>
            <w:vAlign w:val="center"/>
            <w:hideMark/>
          </w:tcPr>
          <w:p w14:paraId="1DB26D7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7.7</w:t>
            </w:r>
          </w:p>
        </w:tc>
        <w:tc>
          <w:tcPr>
            <w:tcW w:w="900" w:type="dxa"/>
            <w:tcBorders>
              <w:top w:val="nil"/>
              <w:left w:val="nil"/>
              <w:bottom w:val="single" w:sz="4" w:space="0" w:color="auto"/>
              <w:right w:val="single" w:sz="4" w:space="0" w:color="auto"/>
            </w:tcBorders>
            <w:shd w:val="clear" w:color="auto" w:fill="auto"/>
            <w:noWrap/>
            <w:vAlign w:val="center"/>
            <w:hideMark/>
          </w:tcPr>
          <w:p w14:paraId="611E0B3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7.6</w:t>
            </w:r>
          </w:p>
        </w:tc>
        <w:tc>
          <w:tcPr>
            <w:tcW w:w="900" w:type="dxa"/>
            <w:tcBorders>
              <w:top w:val="nil"/>
              <w:left w:val="nil"/>
              <w:bottom w:val="single" w:sz="4" w:space="0" w:color="auto"/>
              <w:right w:val="single" w:sz="4" w:space="0" w:color="auto"/>
            </w:tcBorders>
            <w:shd w:val="clear" w:color="auto" w:fill="auto"/>
            <w:noWrap/>
            <w:vAlign w:val="center"/>
            <w:hideMark/>
          </w:tcPr>
          <w:p w14:paraId="58A1953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6.8</w:t>
            </w:r>
          </w:p>
        </w:tc>
        <w:tc>
          <w:tcPr>
            <w:tcW w:w="900" w:type="dxa"/>
            <w:tcBorders>
              <w:top w:val="nil"/>
              <w:left w:val="nil"/>
              <w:bottom w:val="single" w:sz="4" w:space="0" w:color="auto"/>
              <w:right w:val="single" w:sz="4" w:space="0" w:color="auto"/>
            </w:tcBorders>
            <w:shd w:val="clear" w:color="auto" w:fill="auto"/>
            <w:noWrap/>
            <w:vAlign w:val="center"/>
            <w:hideMark/>
          </w:tcPr>
          <w:p w14:paraId="49E68DC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7.4</w:t>
            </w:r>
          </w:p>
        </w:tc>
        <w:tc>
          <w:tcPr>
            <w:tcW w:w="900" w:type="dxa"/>
            <w:tcBorders>
              <w:top w:val="nil"/>
              <w:left w:val="nil"/>
              <w:bottom w:val="single" w:sz="4" w:space="0" w:color="auto"/>
              <w:right w:val="single" w:sz="12" w:space="0" w:color="auto"/>
            </w:tcBorders>
            <w:shd w:val="clear" w:color="auto" w:fill="auto"/>
            <w:noWrap/>
            <w:vAlign w:val="center"/>
            <w:hideMark/>
          </w:tcPr>
          <w:p w14:paraId="2CDA4F4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3.7</w:t>
            </w:r>
          </w:p>
        </w:tc>
      </w:tr>
      <w:tr w:rsidR="00D61393" w:rsidRPr="00D61393" w14:paraId="37159A2E"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6D31ADA3"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25DF349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7EF1276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8.2</w:t>
            </w:r>
          </w:p>
        </w:tc>
        <w:tc>
          <w:tcPr>
            <w:tcW w:w="900" w:type="dxa"/>
            <w:tcBorders>
              <w:top w:val="nil"/>
              <w:left w:val="nil"/>
              <w:bottom w:val="single" w:sz="4" w:space="0" w:color="auto"/>
              <w:right w:val="single" w:sz="4" w:space="0" w:color="auto"/>
            </w:tcBorders>
            <w:shd w:val="clear" w:color="auto" w:fill="auto"/>
            <w:noWrap/>
            <w:vAlign w:val="center"/>
            <w:hideMark/>
          </w:tcPr>
          <w:p w14:paraId="048143C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8.2</w:t>
            </w:r>
          </w:p>
        </w:tc>
        <w:tc>
          <w:tcPr>
            <w:tcW w:w="900" w:type="dxa"/>
            <w:tcBorders>
              <w:top w:val="nil"/>
              <w:left w:val="nil"/>
              <w:bottom w:val="single" w:sz="4" w:space="0" w:color="auto"/>
              <w:right w:val="single" w:sz="4" w:space="0" w:color="auto"/>
            </w:tcBorders>
            <w:shd w:val="clear" w:color="auto" w:fill="auto"/>
            <w:noWrap/>
            <w:vAlign w:val="center"/>
            <w:hideMark/>
          </w:tcPr>
          <w:p w14:paraId="6E120D5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8.4</w:t>
            </w:r>
          </w:p>
        </w:tc>
        <w:tc>
          <w:tcPr>
            <w:tcW w:w="900" w:type="dxa"/>
            <w:tcBorders>
              <w:top w:val="nil"/>
              <w:left w:val="nil"/>
              <w:bottom w:val="single" w:sz="4" w:space="0" w:color="auto"/>
              <w:right w:val="single" w:sz="4" w:space="0" w:color="auto"/>
            </w:tcBorders>
            <w:shd w:val="clear" w:color="auto" w:fill="auto"/>
            <w:noWrap/>
            <w:vAlign w:val="center"/>
            <w:hideMark/>
          </w:tcPr>
          <w:p w14:paraId="4595EF6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8.3</w:t>
            </w:r>
          </w:p>
        </w:tc>
        <w:tc>
          <w:tcPr>
            <w:tcW w:w="900" w:type="dxa"/>
            <w:tcBorders>
              <w:top w:val="nil"/>
              <w:left w:val="nil"/>
              <w:bottom w:val="single" w:sz="4" w:space="0" w:color="auto"/>
              <w:right w:val="single" w:sz="4" w:space="0" w:color="auto"/>
            </w:tcBorders>
            <w:shd w:val="clear" w:color="auto" w:fill="auto"/>
            <w:noWrap/>
            <w:vAlign w:val="center"/>
            <w:hideMark/>
          </w:tcPr>
          <w:p w14:paraId="240F5DD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7.7</w:t>
            </w:r>
          </w:p>
        </w:tc>
        <w:tc>
          <w:tcPr>
            <w:tcW w:w="900" w:type="dxa"/>
            <w:tcBorders>
              <w:top w:val="nil"/>
              <w:left w:val="nil"/>
              <w:bottom w:val="single" w:sz="4" w:space="0" w:color="auto"/>
              <w:right w:val="single" w:sz="4" w:space="0" w:color="auto"/>
            </w:tcBorders>
            <w:shd w:val="clear" w:color="auto" w:fill="auto"/>
            <w:noWrap/>
            <w:vAlign w:val="center"/>
            <w:hideMark/>
          </w:tcPr>
          <w:p w14:paraId="7C90369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7.8</w:t>
            </w:r>
          </w:p>
        </w:tc>
        <w:tc>
          <w:tcPr>
            <w:tcW w:w="900" w:type="dxa"/>
            <w:tcBorders>
              <w:top w:val="nil"/>
              <w:left w:val="nil"/>
              <w:bottom w:val="single" w:sz="4" w:space="0" w:color="auto"/>
              <w:right w:val="single" w:sz="4" w:space="0" w:color="auto"/>
            </w:tcBorders>
            <w:shd w:val="clear" w:color="auto" w:fill="auto"/>
            <w:noWrap/>
            <w:vAlign w:val="center"/>
            <w:hideMark/>
          </w:tcPr>
          <w:p w14:paraId="438AC96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8.1</w:t>
            </w:r>
          </w:p>
        </w:tc>
        <w:tc>
          <w:tcPr>
            <w:tcW w:w="900" w:type="dxa"/>
            <w:tcBorders>
              <w:top w:val="nil"/>
              <w:left w:val="nil"/>
              <w:bottom w:val="single" w:sz="4" w:space="0" w:color="auto"/>
              <w:right w:val="single" w:sz="12" w:space="0" w:color="auto"/>
            </w:tcBorders>
            <w:shd w:val="clear" w:color="auto" w:fill="auto"/>
            <w:noWrap/>
            <w:vAlign w:val="center"/>
            <w:hideMark/>
          </w:tcPr>
          <w:p w14:paraId="3E5DFF3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4.1</w:t>
            </w:r>
          </w:p>
        </w:tc>
      </w:tr>
      <w:tr w:rsidR="00D61393" w:rsidRPr="00D61393" w14:paraId="7AB844F9"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52C8BA71"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79A551D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14</w:t>
            </w:r>
          </w:p>
        </w:tc>
        <w:tc>
          <w:tcPr>
            <w:tcW w:w="900" w:type="dxa"/>
            <w:tcBorders>
              <w:top w:val="nil"/>
              <w:left w:val="nil"/>
              <w:bottom w:val="single" w:sz="4" w:space="0" w:color="auto"/>
              <w:right w:val="single" w:sz="4" w:space="0" w:color="auto"/>
            </w:tcBorders>
            <w:shd w:val="clear" w:color="auto" w:fill="auto"/>
            <w:noWrap/>
            <w:vAlign w:val="center"/>
            <w:hideMark/>
          </w:tcPr>
          <w:p w14:paraId="5640DE2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8.8</w:t>
            </w:r>
          </w:p>
        </w:tc>
        <w:tc>
          <w:tcPr>
            <w:tcW w:w="900" w:type="dxa"/>
            <w:tcBorders>
              <w:top w:val="nil"/>
              <w:left w:val="nil"/>
              <w:bottom w:val="single" w:sz="4" w:space="0" w:color="auto"/>
              <w:right w:val="single" w:sz="4" w:space="0" w:color="auto"/>
            </w:tcBorders>
            <w:shd w:val="clear" w:color="auto" w:fill="auto"/>
            <w:noWrap/>
            <w:vAlign w:val="center"/>
            <w:hideMark/>
          </w:tcPr>
          <w:p w14:paraId="1197313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8.6</w:t>
            </w:r>
          </w:p>
        </w:tc>
        <w:tc>
          <w:tcPr>
            <w:tcW w:w="900" w:type="dxa"/>
            <w:tcBorders>
              <w:top w:val="nil"/>
              <w:left w:val="nil"/>
              <w:bottom w:val="single" w:sz="4" w:space="0" w:color="auto"/>
              <w:right w:val="single" w:sz="4" w:space="0" w:color="auto"/>
            </w:tcBorders>
            <w:shd w:val="clear" w:color="auto" w:fill="auto"/>
            <w:noWrap/>
            <w:vAlign w:val="center"/>
            <w:hideMark/>
          </w:tcPr>
          <w:p w14:paraId="7047196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8.6</w:t>
            </w:r>
          </w:p>
        </w:tc>
        <w:tc>
          <w:tcPr>
            <w:tcW w:w="900" w:type="dxa"/>
            <w:tcBorders>
              <w:top w:val="nil"/>
              <w:left w:val="nil"/>
              <w:bottom w:val="single" w:sz="4" w:space="0" w:color="auto"/>
              <w:right w:val="single" w:sz="4" w:space="0" w:color="auto"/>
            </w:tcBorders>
            <w:shd w:val="clear" w:color="auto" w:fill="auto"/>
            <w:noWrap/>
            <w:vAlign w:val="center"/>
            <w:hideMark/>
          </w:tcPr>
          <w:p w14:paraId="72A5DD1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8.4</w:t>
            </w:r>
          </w:p>
        </w:tc>
        <w:tc>
          <w:tcPr>
            <w:tcW w:w="900" w:type="dxa"/>
            <w:tcBorders>
              <w:top w:val="nil"/>
              <w:left w:val="nil"/>
              <w:bottom w:val="single" w:sz="4" w:space="0" w:color="auto"/>
              <w:right w:val="single" w:sz="4" w:space="0" w:color="auto"/>
            </w:tcBorders>
            <w:shd w:val="clear" w:color="auto" w:fill="auto"/>
            <w:noWrap/>
            <w:vAlign w:val="center"/>
            <w:hideMark/>
          </w:tcPr>
          <w:p w14:paraId="601F3AA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8.1</w:t>
            </w:r>
          </w:p>
        </w:tc>
        <w:tc>
          <w:tcPr>
            <w:tcW w:w="900" w:type="dxa"/>
            <w:tcBorders>
              <w:top w:val="nil"/>
              <w:left w:val="nil"/>
              <w:bottom w:val="single" w:sz="4" w:space="0" w:color="auto"/>
              <w:right w:val="single" w:sz="4" w:space="0" w:color="auto"/>
            </w:tcBorders>
            <w:shd w:val="clear" w:color="auto" w:fill="auto"/>
            <w:noWrap/>
            <w:vAlign w:val="center"/>
            <w:hideMark/>
          </w:tcPr>
          <w:p w14:paraId="291B0D2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8.2</w:t>
            </w:r>
          </w:p>
        </w:tc>
        <w:tc>
          <w:tcPr>
            <w:tcW w:w="900" w:type="dxa"/>
            <w:tcBorders>
              <w:top w:val="nil"/>
              <w:left w:val="nil"/>
              <w:bottom w:val="single" w:sz="4" w:space="0" w:color="auto"/>
              <w:right w:val="single" w:sz="4" w:space="0" w:color="auto"/>
            </w:tcBorders>
            <w:shd w:val="clear" w:color="auto" w:fill="auto"/>
            <w:noWrap/>
            <w:vAlign w:val="center"/>
            <w:hideMark/>
          </w:tcPr>
          <w:p w14:paraId="0DD3CF1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8.5</w:t>
            </w:r>
          </w:p>
        </w:tc>
        <w:tc>
          <w:tcPr>
            <w:tcW w:w="900" w:type="dxa"/>
            <w:tcBorders>
              <w:top w:val="nil"/>
              <w:left w:val="nil"/>
              <w:bottom w:val="single" w:sz="4" w:space="0" w:color="auto"/>
              <w:right w:val="single" w:sz="12" w:space="0" w:color="auto"/>
            </w:tcBorders>
            <w:shd w:val="clear" w:color="auto" w:fill="auto"/>
            <w:noWrap/>
            <w:vAlign w:val="center"/>
            <w:hideMark/>
          </w:tcPr>
          <w:p w14:paraId="11BC2A8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4.2</w:t>
            </w:r>
          </w:p>
        </w:tc>
      </w:tr>
      <w:tr w:rsidR="00D61393" w:rsidRPr="00D61393" w14:paraId="1196C287" w14:textId="77777777" w:rsidTr="00D61393">
        <w:trPr>
          <w:trHeight w:val="315"/>
          <w:jc w:val="center"/>
        </w:trPr>
        <w:tc>
          <w:tcPr>
            <w:tcW w:w="9560"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0A3AECB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 </w:t>
            </w:r>
          </w:p>
        </w:tc>
      </w:tr>
      <w:tr w:rsidR="00D61393" w:rsidRPr="00D61393" w14:paraId="5D8B6919" w14:textId="77777777" w:rsidTr="00D61393">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vAlign w:val="center"/>
            <w:hideMark/>
          </w:tcPr>
          <w:p w14:paraId="5FB17D6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Commercial ACI</w:t>
            </w:r>
          </w:p>
        </w:tc>
        <w:tc>
          <w:tcPr>
            <w:tcW w:w="1080" w:type="dxa"/>
            <w:tcBorders>
              <w:top w:val="nil"/>
              <w:left w:val="nil"/>
              <w:bottom w:val="single" w:sz="4" w:space="0" w:color="auto"/>
              <w:right w:val="single" w:sz="4" w:space="0" w:color="auto"/>
            </w:tcBorders>
            <w:shd w:val="clear" w:color="auto" w:fill="auto"/>
            <w:noWrap/>
            <w:vAlign w:val="center"/>
            <w:hideMark/>
          </w:tcPr>
          <w:p w14:paraId="372583E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354235C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8.2</w:t>
            </w:r>
          </w:p>
        </w:tc>
        <w:tc>
          <w:tcPr>
            <w:tcW w:w="900" w:type="dxa"/>
            <w:tcBorders>
              <w:top w:val="nil"/>
              <w:left w:val="nil"/>
              <w:bottom w:val="single" w:sz="4" w:space="0" w:color="auto"/>
              <w:right w:val="single" w:sz="4" w:space="0" w:color="auto"/>
            </w:tcBorders>
            <w:shd w:val="clear" w:color="auto" w:fill="auto"/>
            <w:noWrap/>
            <w:vAlign w:val="center"/>
            <w:hideMark/>
          </w:tcPr>
          <w:p w14:paraId="481696C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7.8</w:t>
            </w:r>
          </w:p>
        </w:tc>
        <w:tc>
          <w:tcPr>
            <w:tcW w:w="900" w:type="dxa"/>
            <w:tcBorders>
              <w:top w:val="nil"/>
              <w:left w:val="nil"/>
              <w:bottom w:val="single" w:sz="4" w:space="0" w:color="auto"/>
              <w:right w:val="single" w:sz="4" w:space="0" w:color="auto"/>
            </w:tcBorders>
            <w:shd w:val="clear" w:color="auto" w:fill="auto"/>
            <w:noWrap/>
            <w:vAlign w:val="center"/>
            <w:hideMark/>
          </w:tcPr>
          <w:p w14:paraId="25A2DE3B"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7.0</w:t>
            </w:r>
          </w:p>
        </w:tc>
        <w:tc>
          <w:tcPr>
            <w:tcW w:w="900" w:type="dxa"/>
            <w:tcBorders>
              <w:top w:val="nil"/>
              <w:left w:val="nil"/>
              <w:bottom w:val="single" w:sz="4" w:space="0" w:color="auto"/>
              <w:right w:val="single" w:sz="4" w:space="0" w:color="auto"/>
            </w:tcBorders>
            <w:shd w:val="clear" w:color="auto" w:fill="auto"/>
            <w:noWrap/>
            <w:vAlign w:val="center"/>
            <w:hideMark/>
          </w:tcPr>
          <w:p w14:paraId="74344F0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8.7</w:t>
            </w:r>
          </w:p>
        </w:tc>
        <w:tc>
          <w:tcPr>
            <w:tcW w:w="900" w:type="dxa"/>
            <w:tcBorders>
              <w:top w:val="nil"/>
              <w:left w:val="nil"/>
              <w:bottom w:val="single" w:sz="4" w:space="0" w:color="auto"/>
              <w:right w:val="single" w:sz="4" w:space="0" w:color="auto"/>
            </w:tcBorders>
            <w:shd w:val="clear" w:color="auto" w:fill="auto"/>
            <w:noWrap/>
            <w:vAlign w:val="center"/>
            <w:hideMark/>
          </w:tcPr>
          <w:p w14:paraId="15C8B85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8.5</w:t>
            </w:r>
          </w:p>
        </w:tc>
        <w:tc>
          <w:tcPr>
            <w:tcW w:w="900" w:type="dxa"/>
            <w:tcBorders>
              <w:top w:val="nil"/>
              <w:left w:val="nil"/>
              <w:bottom w:val="single" w:sz="4" w:space="0" w:color="auto"/>
              <w:right w:val="single" w:sz="4" w:space="0" w:color="auto"/>
            </w:tcBorders>
            <w:shd w:val="clear" w:color="auto" w:fill="auto"/>
            <w:noWrap/>
            <w:vAlign w:val="center"/>
            <w:hideMark/>
          </w:tcPr>
          <w:p w14:paraId="505440D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8.4</w:t>
            </w:r>
          </w:p>
        </w:tc>
        <w:tc>
          <w:tcPr>
            <w:tcW w:w="900" w:type="dxa"/>
            <w:tcBorders>
              <w:top w:val="nil"/>
              <w:left w:val="nil"/>
              <w:bottom w:val="single" w:sz="4" w:space="0" w:color="auto"/>
              <w:right w:val="single" w:sz="4" w:space="0" w:color="auto"/>
            </w:tcBorders>
            <w:shd w:val="clear" w:color="auto" w:fill="auto"/>
            <w:noWrap/>
            <w:vAlign w:val="center"/>
            <w:hideMark/>
          </w:tcPr>
          <w:p w14:paraId="4B4929A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8.1</w:t>
            </w:r>
          </w:p>
        </w:tc>
        <w:tc>
          <w:tcPr>
            <w:tcW w:w="900" w:type="dxa"/>
            <w:tcBorders>
              <w:top w:val="nil"/>
              <w:left w:val="nil"/>
              <w:bottom w:val="single" w:sz="4" w:space="0" w:color="auto"/>
              <w:right w:val="single" w:sz="12" w:space="0" w:color="auto"/>
            </w:tcBorders>
            <w:shd w:val="clear" w:color="auto" w:fill="auto"/>
            <w:noWrap/>
            <w:vAlign w:val="center"/>
            <w:hideMark/>
          </w:tcPr>
          <w:p w14:paraId="50D02E4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1.7</w:t>
            </w:r>
          </w:p>
        </w:tc>
      </w:tr>
      <w:tr w:rsidR="00D61393" w:rsidRPr="00D61393" w14:paraId="17FE4F90"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484BDD17"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216DA29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0603F9B1"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8.7</w:t>
            </w:r>
          </w:p>
        </w:tc>
        <w:tc>
          <w:tcPr>
            <w:tcW w:w="900" w:type="dxa"/>
            <w:tcBorders>
              <w:top w:val="nil"/>
              <w:left w:val="nil"/>
              <w:bottom w:val="single" w:sz="4" w:space="0" w:color="auto"/>
              <w:right w:val="single" w:sz="4" w:space="0" w:color="auto"/>
            </w:tcBorders>
            <w:shd w:val="clear" w:color="auto" w:fill="auto"/>
            <w:noWrap/>
            <w:vAlign w:val="center"/>
            <w:hideMark/>
          </w:tcPr>
          <w:p w14:paraId="618EA58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8.6</w:t>
            </w:r>
          </w:p>
        </w:tc>
        <w:tc>
          <w:tcPr>
            <w:tcW w:w="900" w:type="dxa"/>
            <w:tcBorders>
              <w:top w:val="nil"/>
              <w:left w:val="nil"/>
              <w:bottom w:val="single" w:sz="4" w:space="0" w:color="auto"/>
              <w:right w:val="single" w:sz="4" w:space="0" w:color="auto"/>
            </w:tcBorders>
            <w:shd w:val="clear" w:color="auto" w:fill="auto"/>
            <w:noWrap/>
            <w:vAlign w:val="center"/>
            <w:hideMark/>
          </w:tcPr>
          <w:p w14:paraId="387249D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7.7</w:t>
            </w:r>
          </w:p>
        </w:tc>
        <w:tc>
          <w:tcPr>
            <w:tcW w:w="900" w:type="dxa"/>
            <w:tcBorders>
              <w:top w:val="nil"/>
              <w:left w:val="nil"/>
              <w:bottom w:val="single" w:sz="4" w:space="0" w:color="auto"/>
              <w:right w:val="single" w:sz="4" w:space="0" w:color="auto"/>
            </w:tcBorders>
            <w:shd w:val="clear" w:color="auto" w:fill="auto"/>
            <w:noWrap/>
            <w:vAlign w:val="center"/>
            <w:hideMark/>
          </w:tcPr>
          <w:p w14:paraId="1388D19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7.3</w:t>
            </w:r>
          </w:p>
        </w:tc>
        <w:tc>
          <w:tcPr>
            <w:tcW w:w="900" w:type="dxa"/>
            <w:tcBorders>
              <w:top w:val="nil"/>
              <w:left w:val="nil"/>
              <w:bottom w:val="single" w:sz="4" w:space="0" w:color="auto"/>
              <w:right w:val="single" w:sz="4" w:space="0" w:color="auto"/>
            </w:tcBorders>
            <w:shd w:val="clear" w:color="auto" w:fill="auto"/>
            <w:noWrap/>
            <w:vAlign w:val="center"/>
            <w:hideMark/>
          </w:tcPr>
          <w:p w14:paraId="02DC948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8.7</w:t>
            </w:r>
          </w:p>
        </w:tc>
        <w:tc>
          <w:tcPr>
            <w:tcW w:w="900" w:type="dxa"/>
            <w:tcBorders>
              <w:top w:val="nil"/>
              <w:left w:val="nil"/>
              <w:bottom w:val="single" w:sz="4" w:space="0" w:color="auto"/>
              <w:right w:val="single" w:sz="4" w:space="0" w:color="auto"/>
            </w:tcBorders>
            <w:shd w:val="clear" w:color="auto" w:fill="auto"/>
            <w:noWrap/>
            <w:vAlign w:val="center"/>
            <w:hideMark/>
          </w:tcPr>
          <w:p w14:paraId="633B95C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8.7</w:t>
            </w:r>
          </w:p>
        </w:tc>
        <w:tc>
          <w:tcPr>
            <w:tcW w:w="900" w:type="dxa"/>
            <w:tcBorders>
              <w:top w:val="nil"/>
              <w:left w:val="nil"/>
              <w:bottom w:val="single" w:sz="4" w:space="0" w:color="auto"/>
              <w:right w:val="single" w:sz="4" w:space="0" w:color="auto"/>
            </w:tcBorders>
            <w:shd w:val="clear" w:color="auto" w:fill="auto"/>
            <w:noWrap/>
            <w:vAlign w:val="center"/>
            <w:hideMark/>
          </w:tcPr>
          <w:p w14:paraId="7FEDC1B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8.3</w:t>
            </w:r>
          </w:p>
        </w:tc>
        <w:tc>
          <w:tcPr>
            <w:tcW w:w="900" w:type="dxa"/>
            <w:tcBorders>
              <w:top w:val="nil"/>
              <w:left w:val="nil"/>
              <w:bottom w:val="single" w:sz="4" w:space="0" w:color="auto"/>
              <w:right w:val="single" w:sz="12" w:space="0" w:color="auto"/>
            </w:tcBorders>
            <w:shd w:val="clear" w:color="auto" w:fill="auto"/>
            <w:noWrap/>
            <w:vAlign w:val="center"/>
            <w:hideMark/>
          </w:tcPr>
          <w:p w14:paraId="5F2E8DA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1.4</w:t>
            </w:r>
          </w:p>
        </w:tc>
      </w:tr>
      <w:tr w:rsidR="00D61393" w:rsidRPr="00D61393" w14:paraId="0A95C42C"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123F0AC0"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178C2D8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77BAB22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8.6</w:t>
            </w:r>
          </w:p>
        </w:tc>
        <w:tc>
          <w:tcPr>
            <w:tcW w:w="900" w:type="dxa"/>
            <w:tcBorders>
              <w:top w:val="nil"/>
              <w:left w:val="nil"/>
              <w:bottom w:val="single" w:sz="4" w:space="0" w:color="auto"/>
              <w:right w:val="single" w:sz="4" w:space="0" w:color="auto"/>
            </w:tcBorders>
            <w:shd w:val="clear" w:color="auto" w:fill="auto"/>
            <w:noWrap/>
            <w:vAlign w:val="center"/>
            <w:hideMark/>
          </w:tcPr>
          <w:p w14:paraId="5052ACB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7.8</w:t>
            </w:r>
          </w:p>
        </w:tc>
        <w:tc>
          <w:tcPr>
            <w:tcW w:w="900" w:type="dxa"/>
            <w:tcBorders>
              <w:top w:val="nil"/>
              <w:left w:val="nil"/>
              <w:bottom w:val="single" w:sz="4" w:space="0" w:color="auto"/>
              <w:right w:val="single" w:sz="4" w:space="0" w:color="auto"/>
            </w:tcBorders>
            <w:shd w:val="clear" w:color="auto" w:fill="auto"/>
            <w:noWrap/>
            <w:vAlign w:val="center"/>
            <w:hideMark/>
          </w:tcPr>
          <w:p w14:paraId="0EB9854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7.6</w:t>
            </w:r>
          </w:p>
        </w:tc>
        <w:tc>
          <w:tcPr>
            <w:tcW w:w="900" w:type="dxa"/>
            <w:tcBorders>
              <w:top w:val="nil"/>
              <w:left w:val="nil"/>
              <w:bottom w:val="single" w:sz="4" w:space="0" w:color="auto"/>
              <w:right w:val="single" w:sz="4" w:space="0" w:color="auto"/>
            </w:tcBorders>
            <w:shd w:val="clear" w:color="auto" w:fill="auto"/>
            <w:noWrap/>
            <w:vAlign w:val="center"/>
            <w:hideMark/>
          </w:tcPr>
          <w:p w14:paraId="7E3B04F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7.1</w:t>
            </w:r>
          </w:p>
        </w:tc>
        <w:tc>
          <w:tcPr>
            <w:tcW w:w="900" w:type="dxa"/>
            <w:tcBorders>
              <w:top w:val="nil"/>
              <w:left w:val="nil"/>
              <w:bottom w:val="single" w:sz="4" w:space="0" w:color="auto"/>
              <w:right w:val="single" w:sz="4" w:space="0" w:color="auto"/>
            </w:tcBorders>
            <w:shd w:val="clear" w:color="auto" w:fill="auto"/>
            <w:noWrap/>
            <w:vAlign w:val="center"/>
            <w:hideMark/>
          </w:tcPr>
          <w:p w14:paraId="3939F0C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8.4</w:t>
            </w:r>
          </w:p>
        </w:tc>
        <w:tc>
          <w:tcPr>
            <w:tcW w:w="900" w:type="dxa"/>
            <w:tcBorders>
              <w:top w:val="nil"/>
              <w:left w:val="nil"/>
              <w:bottom w:val="single" w:sz="4" w:space="0" w:color="auto"/>
              <w:right w:val="single" w:sz="4" w:space="0" w:color="auto"/>
            </w:tcBorders>
            <w:shd w:val="clear" w:color="auto" w:fill="auto"/>
            <w:noWrap/>
            <w:vAlign w:val="center"/>
            <w:hideMark/>
          </w:tcPr>
          <w:p w14:paraId="7ED646D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8.6</w:t>
            </w:r>
          </w:p>
        </w:tc>
        <w:tc>
          <w:tcPr>
            <w:tcW w:w="900" w:type="dxa"/>
            <w:tcBorders>
              <w:top w:val="nil"/>
              <w:left w:val="nil"/>
              <w:bottom w:val="single" w:sz="4" w:space="0" w:color="auto"/>
              <w:right w:val="single" w:sz="4" w:space="0" w:color="auto"/>
            </w:tcBorders>
            <w:shd w:val="clear" w:color="auto" w:fill="auto"/>
            <w:noWrap/>
            <w:vAlign w:val="center"/>
            <w:hideMark/>
          </w:tcPr>
          <w:p w14:paraId="7D69D7A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8.0</w:t>
            </w:r>
          </w:p>
        </w:tc>
        <w:tc>
          <w:tcPr>
            <w:tcW w:w="900" w:type="dxa"/>
            <w:tcBorders>
              <w:top w:val="nil"/>
              <w:left w:val="nil"/>
              <w:bottom w:val="single" w:sz="4" w:space="0" w:color="auto"/>
              <w:right w:val="single" w:sz="12" w:space="0" w:color="auto"/>
            </w:tcBorders>
            <w:shd w:val="clear" w:color="auto" w:fill="auto"/>
            <w:noWrap/>
            <w:vAlign w:val="center"/>
            <w:hideMark/>
          </w:tcPr>
          <w:p w14:paraId="6082878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1.5</w:t>
            </w:r>
          </w:p>
        </w:tc>
      </w:tr>
      <w:tr w:rsidR="00D61393" w:rsidRPr="00D61393" w14:paraId="786708D4"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2E939112"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6E31252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14</w:t>
            </w:r>
          </w:p>
        </w:tc>
        <w:tc>
          <w:tcPr>
            <w:tcW w:w="900" w:type="dxa"/>
            <w:tcBorders>
              <w:top w:val="nil"/>
              <w:left w:val="nil"/>
              <w:bottom w:val="single" w:sz="4" w:space="0" w:color="auto"/>
              <w:right w:val="single" w:sz="4" w:space="0" w:color="auto"/>
            </w:tcBorders>
            <w:shd w:val="clear" w:color="auto" w:fill="auto"/>
            <w:noWrap/>
            <w:vAlign w:val="center"/>
            <w:hideMark/>
          </w:tcPr>
          <w:p w14:paraId="6E6AF2D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8.9</w:t>
            </w:r>
          </w:p>
        </w:tc>
        <w:tc>
          <w:tcPr>
            <w:tcW w:w="900" w:type="dxa"/>
            <w:tcBorders>
              <w:top w:val="nil"/>
              <w:left w:val="nil"/>
              <w:bottom w:val="single" w:sz="4" w:space="0" w:color="auto"/>
              <w:right w:val="single" w:sz="4" w:space="0" w:color="auto"/>
            </w:tcBorders>
            <w:shd w:val="clear" w:color="auto" w:fill="auto"/>
            <w:noWrap/>
            <w:vAlign w:val="center"/>
            <w:hideMark/>
          </w:tcPr>
          <w:p w14:paraId="17F2888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8.3</w:t>
            </w:r>
          </w:p>
        </w:tc>
        <w:tc>
          <w:tcPr>
            <w:tcW w:w="900" w:type="dxa"/>
            <w:tcBorders>
              <w:top w:val="nil"/>
              <w:left w:val="nil"/>
              <w:bottom w:val="single" w:sz="4" w:space="0" w:color="auto"/>
              <w:right w:val="single" w:sz="4" w:space="0" w:color="auto"/>
            </w:tcBorders>
            <w:shd w:val="clear" w:color="auto" w:fill="auto"/>
            <w:noWrap/>
            <w:vAlign w:val="center"/>
            <w:hideMark/>
          </w:tcPr>
          <w:p w14:paraId="4E6D8BD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7.5</w:t>
            </w:r>
          </w:p>
        </w:tc>
        <w:tc>
          <w:tcPr>
            <w:tcW w:w="900" w:type="dxa"/>
            <w:tcBorders>
              <w:top w:val="nil"/>
              <w:left w:val="nil"/>
              <w:bottom w:val="single" w:sz="4" w:space="0" w:color="auto"/>
              <w:right w:val="single" w:sz="4" w:space="0" w:color="auto"/>
            </w:tcBorders>
            <w:shd w:val="clear" w:color="auto" w:fill="auto"/>
            <w:noWrap/>
            <w:vAlign w:val="center"/>
            <w:hideMark/>
          </w:tcPr>
          <w:p w14:paraId="5B99E821"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9.0</w:t>
            </w:r>
          </w:p>
        </w:tc>
        <w:tc>
          <w:tcPr>
            <w:tcW w:w="900" w:type="dxa"/>
            <w:tcBorders>
              <w:top w:val="nil"/>
              <w:left w:val="nil"/>
              <w:bottom w:val="single" w:sz="4" w:space="0" w:color="auto"/>
              <w:right w:val="single" w:sz="4" w:space="0" w:color="auto"/>
            </w:tcBorders>
            <w:shd w:val="clear" w:color="auto" w:fill="auto"/>
            <w:noWrap/>
            <w:vAlign w:val="center"/>
            <w:hideMark/>
          </w:tcPr>
          <w:p w14:paraId="3A6B28F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8.9</w:t>
            </w:r>
          </w:p>
        </w:tc>
        <w:tc>
          <w:tcPr>
            <w:tcW w:w="900" w:type="dxa"/>
            <w:tcBorders>
              <w:top w:val="nil"/>
              <w:left w:val="nil"/>
              <w:bottom w:val="single" w:sz="4" w:space="0" w:color="auto"/>
              <w:right w:val="single" w:sz="4" w:space="0" w:color="auto"/>
            </w:tcBorders>
            <w:shd w:val="clear" w:color="auto" w:fill="auto"/>
            <w:noWrap/>
            <w:vAlign w:val="center"/>
            <w:hideMark/>
          </w:tcPr>
          <w:p w14:paraId="3C0F193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9.3</w:t>
            </w:r>
          </w:p>
        </w:tc>
        <w:tc>
          <w:tcPr>
            <w:tcW w:w="900" w:type="dxa"/>
            <w:tcBorders>
              <w:top w:val="nil"/>
              <w:left w:val="nil"/>
              <w:bottom w:val="single" w:sz="4" w:space="0" w:color="auto"/>
              <w:right w:val="single" w:sz="4" w:space="0" w:color="auto"/>
            </w:tcBorders>
            <w:shd w:val="clear" w:color="auto" w:fill="auto"/>
            <w:noWrap/>
            <w:vAlign w:val="center"/>
            <w:hideMark/>
          </w:tcPr>
          <w:p w14:paraId="2A47477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8.7</w:t>
            </w:r>
          </w:p>
        </w:tc>
        <w:tc>
          <w:tcPr>
            <w:tcW w:w="900" w:type="dxa"/>
            <w:tcBorders>
              <w:top w:val="nil"/>
              <w:left w:val="nil"/>
              <w:bottom w:val="single" w:sz="4" w:space="0" w:color="auto"/>
              <w:right w:val="single" w:sz="12" w:space="0" w:color="auto"/>
            </w:tcBorders>
            <w:shd w:val="clear" w:color="auto" w:fill="auto"/>
            <w:noWrap/>
            <w:vAlign w:val="center"/>
            <w:hideMark/>
          </w:tcPr>
          <w:p w14:paraId="0B8E97E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1.8</w:t>
            </w:r>
          </w:p>
        </w:tc>
      </w:tr>
      <w:tr w:rsidR="00D61393" w:rsidRPr="00D61393" w14:paraId="3263E382" w14:textId="77777777" w:rsidTr="00D61393">
        <w:trPr>
          <w:trHeight w:val="315"/>
          <w:jc w:val="center"/>
        </w:trPr>
        <w:tc>
          <w:tcPr>
            <w:tcW w:w="9560"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23CAB3E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 </w:t>
            </w:r>
          </w:p>
        </w:tc>
      </w:tr>
      <w:tr w:rsidR="00D61393" w:rsidRPr="00D61393" w14:paraId="187FE507" w14:textId="77777777" w:rsidTr="00D61393">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D1BB61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CRED</w:t>
            </w:r>
          </w:p>
        </w:tc>
        <w:tc>
          <w:tcPr>
            <w:tcW w:w="1080" w:type="dxa"/>
            <w:tcBorders>
              <w:top w:val="nil"/>
              <w:left w:val="nil"/>
              <w:bottom w:val="single" w:sz="4" w:space="0" w:color="auto"/>
              <w:right w:val="single" w:sz="4" w:space="0" w:color="auto"/>
            </w:tcBorders>
            <w:shd w:val="clear" w:color="auto" w:fill="auto"/>
            <w:noWrap/>
            <w:vAlign w:val="center"/>
            <w:hideMark/>
          </w:tcPr>
          <w:p w14:paraId="6B263FB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3568214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20.1</w:t>
            </w:r>
          </w:p>
        </w:tc>
        <w:tc>
          <w:tcPr>
            <w:tcW w:w="900" w:type="dxa"/>
            <w:tcBorders>
              <w:top w:val="nil"/>
              <w:left w:val="nil"/>
              <w:bottom w:val="single" w:sz="4" w:space="0" w:color="auto"/>
              <w:right w:val="single" w:sz="4" w:space="0" w:color="auto"/>
            </w:tcBorders>
            <w:shd w:val="clear" w:color="auto" w:fill="auto"/>
            <w:noWrap/>
            <w:vAlign w:val="center"/>
            <w:hideMark/>
          </w:tcPr>
          <w:p w14:paraId="76D0B48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20.3</w:t>
            </w:r>
          </w:p>
        </w:tc>
        <w:tc>
          <w:tcPr>
            <w:tcW w:w="900" w:type="dxa"/>
            <w:tcBorders>
              <w:top w:val="nil"/>
              <w:left w:val="nil"/>
              <w:bottom w:val="single" w:sz="4" w:space="0" w:color="auto"/>
              <w:right w:val="single" w:sz="4" w:space="0" w:color="auto"/>
            </w:tcBorders>
            <w:shd w:val="clear" w:color="auto" w:fill="auto"/>
            <w:noWrap/>
            <w:vAlign w:val="center"/>
            <w:hideMark/>
          </w:tcPr>
          <w:p w14:paraId="3FAA407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20.6</w:t>
            </w:r>
          </w:p>
        </w:tc>
        <w:tc>
          <w:tcPr>
            <w:tcW w:w="900" w:type="dxa"/>
            <w:tcBorders>
              <w:top w:val="nil"/>
              <w:left w:val="nil"/>
              <w:bottom w:val="single" w:sz="4" w:space="0" w:color="auto"/>
              <w:right w:val="single" w:sz="4" w:space="0" w:color="auto"/>
            </w:tcBorders>
            <w:shd w:val="clear" w:color="auto" w:fill="auto"/>
            <w:noWrap/>
            <w:vAlign w:val="center"/>
            <w:hideMark/>
          </w:tcPr>
          <w:p w14:paraId="0177C94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19.9</w:t>
            </w:r>
          </w:p>
        </w:tc>
        <w:tc>
          <w:tcPr>
            <w:tcW w:w="900" w:type="dxa"/>
            <w:tcBorders>
              <w:top w:val="nil"/>
              <w:left w:val="nil"/>
              <w:bottom w:val="single" w:sz="4" w:space="0" w:color="auto"/>
              <w:right w:val="single" w:sz="4" w:space="0" w:color="auto"/>
            </w:tcBorders>
            <w:shd w:val="clear" w:color="auto" w:fill="auto"/>
            <w:noWrap/>
            <w:vAlign w:val="center"/>
            <w:hideMark/>
          </w:tcPr>
          <w:p w14:paraId="6B729864"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20.3</w:t>
            </w:r>
          </w:p>
        </w:tc>
        <w:tc>
          <w:tcPr>
            <w:tcW w:w="900" w:type="dxa"/>
            <w:tcBorders>
              <w:top w:val="nil"/>
              <w:left w:val="nil"/>
              <w:bottom w:val="single" w:sz="4" w:space="0" w:color="auto"/>
              <w:right w:val="single" w:sz="4" w:space="0" w:color="auto"/>
            </w:tcBorders>
            <w:shd w:val="clear" w:color="auto" w:fill="auto"/>
            <w:noWrap/>
            <w:vAlign w:val="center"/>
            <w:hideMark/>
          </w:tcPr>
          <w:p w14:paraId="264D131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19.7</w:t>
            </w:r>
          </w:p>
        </w:tc>
        <w:tc>
          <w:tcPr>
            <w:tcW w:w="900" w:type="dxa"/>
            <w:tcBorders>
              <w:top w:val="nil"/>
              <w:left w:val="nil"/>
              <w:bottom w:val="single" w:sz="4" w:space="0" w:color="auto"/>
              <w:right w:val="single" w:sz="4" w:space="0" w:color="auto"/>
            </w:tcBorders>
            <w:shd w:val="clear" w:color="auto" w:fill="auto"/>
            <w:noWrap/>
            <w:vAlign w:val="center"/>
            <w:hideMark/>
          </w:tcPr>
          <w:p w14:paraId="75E31C5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20.2</w:t>
            </w:r>
          </w:p>
        </w:tc>
        <w:tc>
          <w:tcPr>
            <w:tcW w:w="900" w:type="dxa"/>
            <w:tcBorders>
              <w:top w:val="nil"/>
              <w:left w:val="nil"/>
              <w:bottom w:val="single" w:sz="4" w:space="0" w:color="auto"/>
              <w:right w:val="single" w:sz="12" w:space="0" w:color="auto"/>
            </w:tcBorders>
            <w:shd w:val="clear" w:color="auto" w:fill="auto"/>
            <w:noWrap/>
            <w:vAlign w:val="center"/>
            <w:hideMark/>
          </w:tcPr>
          <w:p w14:paraId="24C44460"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0.9</w:t>
            </w:r>
          </w:p>
        </w:tc>
      </w:tr>
      <w:tr w:rsidR="00D61393" w:rsidRPr="00D61393" w14:paraId="1F70C808"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7D820253"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7FA0209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3D10079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19.9</w:t>
            </w:r>
          </w:p>
        </w:tc>
        <w:tc>
          <w:tcPr>
            <w:tcW w:w="900" w:type="dxa"/>
            <w:tcBorders>
              <w:top w:val="nil"/>
              <w:left w:val="nil"/>
              <w:bottom w:val="single" w:sz="4" w:space="0" w:color="auto"/>
              <w:right w:val="single" w:sz="4" w:space="0" w:color="auto"/>
            </w:tcBorders>
            <w:shd w:val="clear" w:color="auto" w:fill="auto"/>
            <w:noWrap/>
            <w:vAlign w:val="center"/>
            <w:hideMark/>
          </w:tcPr>
          <w:p w14:paraId="2B01177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20.5</w:t>
            </w:r>
          </w:p>
        </w:tc>
        <w:tc>
          <w:tcPr>
            <w:tcW w:w="900" w:type="dxa"/>
            <w:tcBorders>
              <w:top w:val="nil"/>
              <w:left w:val="nil"/>
              <w:bottom w:val="single" w:sz="4" w:space="0" w:color="auto"/>
              <w:right w:val="single" w:sz="4" w:space="0" w:color="auto"/>
            </w:tcBorders>
            <w:shd w:val="clear" w:color="auto" w:fill="auto"/>
            <w:noWrap/>
            <w:vAlign w:val="center"/>
            <w:hideMark/>
          </w:tcPr>
          <w:p w14:paraId="63EEB6C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19.8</w:t>
            </w:r>
          </w:p>
        </w:tc>
        <w:tc>
          <w:tcPr>
            <w:tcW w:w="900" w:type="dxa"/>
            <w:tcBorders>
              <w:top w:val="nil"/>
              <w:left w:val="nil"/>
              <w:bottom w:val="single" w:sz="4" w:space="0" w:color="auto"/>
              <w:right w:val="single" w:sz="4" w:space="0" w:color="auto"/>
            </w:tcBorders>
            <w:shd w:val="clear" w:color="auto" w:fill="auto"/>
            <w:noWrap/>
            <w:vAlign w:val="center"/>
            <w:hideMark/>
          </w:tcPr>
          <w:p w14:paraId="57E6DC1D"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19.2</w:t>
            </w:r>
          </w:p>
        </w:tc>
        <w:tc>
          <w:tcPr>
            <w:tcW w:w="900" w:type="dxa"/>
            <w:tcBorders>
              <w:top w:val="nil"/>
              <w:left w:val="nil"/>
              <w:bottom w:val="single" w:sz="4" w:space="0" w:color="auto"/>
              <w:right w:val="single" w:sz="4" w:space="0" w:color="auto"/>
            </w:tcBorders>
            <w:shd w:val="clear" w:color="auto" w:fill="auto"/>
            <w:noWrap/>
            <w:vAlign w:val="center"/>
            <w:hideMark/>
          </w:tcPr>
          <w:p w14:paraId="4E972CF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20.3</w:t>
            </w:r>
          </w:p>
        </w:tc>
        <w:tc>
          <w:tcPr>
            <w:tcW w:w="900" w:type="dxa"/>
            <w:tcBorders>
              <w:top w:val="nil"/>
              <w:left w:val="nil"/>
              <w:bottom w:val="single" w:sz="4" w:space="0" w:color="auto"/>
              <w:right w:val="single" w:sz="4" w:space="0" w:color="auto"/>
            </w:tcBorders>
            <w:shd w:val="clear" w:color="auto" w:fill="auto"/>
            <w:noWrap/>
            <w:vAlign w:val="center"/>
            <w:hideMark/>
          </w:tcPr>
          <w:p w14:paraId="18A5A155"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19.6</w:t>
            </w:r>
          </w:p>
        </w:tc>
        <w:tc>
          <w:tcPr>
            <w:tcW w:w="900" w:type="dxa"/>
            <w:tcBorders>
              <w:top w:val="nil"/>
              <w:left w:val="nil"/>
              <w:bottom w:val="single" w:sz="4" w:space="0" w:color="auto"/>
              <w:right w:val="single" w:sz="4" w:space="0" w:color="auto"/>
            </w:tcBorders>
            <w:shd w:val="clear" w:color="auto" w:fill="auto"/>
            <w:noWrap/>
            <w:vAlign w:val="center"/>
            <w:hideMark/>
          </w:tcPr>
          <w:p w14:paraId="252AEEE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19.9</w:t>
            </w:r>
          </w:p>
        </w:tc>
        <w:tc>
          <w:tcPr>
            <w:tcW w:w="900" w:type="dxa"/>
            <w:tcBorders>
              <w:top w:val="nil"/>
              <w:left w:val="nil"/>
              <w:bottom w:val="single" w:sz="4" w:space="0" w:color="auto"/>
              <w:right w:val="single" w:sz="12" w:space="0" w:color="auto"/>
            </w:tcBorders>
            <w:shd w:val="clear" w:color="auto" w:fill="auto"/>
            <w:noWrap/>
            <w:vAlign w:val="center"/>
            <w:hideMark/>
          </w:tcPr>
          <w:p w14:paraId="7B1CEB0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1.3</w:t>
            </w:r>
          </w:p>
        </w:tc>
      </w:tr>
      <w:tr w:rsidR="00D61393" w:rsidRPr="00D61393" w14:paraId="133A06E4" w14:textId="77777777" w:rsidTr="00D61393">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44B68AC9"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4" w:space="0" w:color="auto"/>
              <w:right w:val="single" w:sz="4" w:space="0" w:color="auto"/>
            </w:tcBorders>
            <w:shd w:val="clear" w:color="auto" w:fill="auto"/>
            <w:noWrap/>
            <w:vAlign w:val="center"/>
            <w:hideMark/>
          </w:tcPr>
          <w:p w14:paraId="29F71D7C"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0832D71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20.4</w:t>
            </w:r>
          </w:p>
        </w:tc>
        <w:tc>
          <w:tcPr>
            <w:tcW w:w="900" w:type="dxa"/>
            <w:tcBorders>
              <w:top w:val="nil"/>
              <w:left w:val="nil"/>
              <w:bottom w:val="single" w:sz="4" w:space="0" w:color="auto"/>
              <w:right w:val="single" w:sz="4" w:space="0" w:color="auto"/>
            </w:tcBorders>
            <w:shd w:val="clear" w:color="auto" w:fill="auto"/>
            <w:noWrap/>
            <w:vAlign w:val="center"/>
            <w:hideMark/>
          </w:tcPr>
          <w:p w14:paraId="217189C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21.9</w:t>
            </w:r>
          </w:p>
        </w:tc>
        <w:tc>
          <w:tcPr>
            <w:tcW w:w="900" w:type="dxa"/>
            <w:tcBorders>
              <w:top w:val="nil"/>
              <w:left w:val="nil"/>
              <w:bottom w:val="single" w:sz="4" w:space="0" w:color="auto"/>
              <w:right w:val="single" w:sz="4" w:space="0" w:color="auto"/>
            </w:tcBorders>
            <w:shd w:val="clear" w:color="auto" w:fill="auto"/>
            <w:noWrap/>
            <w:vAlign w:val="center"/>
            <w:hideMark/>
          </w:tcPr>
          <w:p w14:paraId="1BBF98FF"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21.0</w:t>
            </w:r>
          </w:p>
        </w:tc>
        <w:tc>
          <w:tcPr>
            <w:tcW w:w="900" w:type="dxa"/>
            <w:tcBorders>
              <w:top w:val="nil"/>
              <w:left w:val="nil"/>
              <w:bottom w:val="single" w:sz="4" w:space="0" w:color="auto"/>
              <w:right w:val="single" w:sz="4" w:space="0" w:color="auto"/>
            </w:tcBorders>
            <w:shd w:val="clear" w:color="auto" w:fill="auto"/>
            <w:noWrap/>
            <w:vAlign w:val="center"/>
            <w:hideMark/>
          </w:tcPr>
          <w:p w14:paraId="205D323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20.7</w:t>
            </w:r>
          </w:p>
        </w:tc>
        <w:tc>
          <w:tcPr>
            <w:tcW w:w="900" w:type="dxa"/>
            <w:tcBorders>
              <w:top w:val="nil"/>
              <w:left w:val="nil"/>
              <w:bottom w:val="single" w:sz="4" w:space="0" w:color="auto"/>
              <w:right w:val="single" w:sz="4" w:space="0" w:color="auto"/>
            </w:tcBorders>
            <w:shd w:val="clear" w:color="auto" w:fill="auto"/>
            <w:noWrap/>
            <w:vAlign w:val="center"/>
            <w:hideMark/>
          </w:tcPr>
          <w:p w14:paraId="325C886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21.9</w:t>
            </w:r>
          </w:p>
        </w:tc>
        <w:tc>
          <w:tcPr>
            <w:tcW w:w="900" w:type="dxa"/>
            <w:tcBorders>
              <w:top w:val="nil"/>
              <w:left w:val="nil"/>
              <w:bottom w:val="single" w:sz="4" w:space="0" w:color="auto"/>
              <w:right w:val="single" w:sz="4" w:space="0" w:color="auto"/>
            </w:tcBorders>
            <w:shd w:val="clear" w:color="auto" w:fill="auto"/>
            <w:noWrap/>
            <w:vAlign w:val="center"/>
            <w:hideMark/>
          </w:tcPr>
          <w:p w14:paraId="22E9AD23"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21.4</w:t>
            </w:r>
          </w:p>
        </w:tc>
        <w:tc>
          <w:tcPr>
            <w:tcW w:w="900" w:type="dxa"/>
            <w:tcBorders>
              <w:top w:val="nil"/>
              <w:left w:val="nil"/>
              <w:bottom w:val="single" w:sz="4" w:space="0" w:color="auto"/>
              <w:right w:val="single" w:sz="4" w:space="0" w:color="auto"/>
            </w:tcBorders>
            <w:shd w:val="clear" w:color="auto" w:fill="auto"/>
            <w:noWrap/>
            <w:vAlign w:val="center"/>
            <w:hideMark/>
          </w:tcPr>
          <w:p w14:paraId="79A3E9C2"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21.2</w:t>
            </w:r>
          </w:p>
        </w:tc>
        <w:tc>
          <w:tcPr>
            <w:tcW w:w="900" w:type="dxa"/>
            <w:tcBorders>
              <w:top w:val="nil"/>
              <w:left w:val="nil"/>
              <w:bottom w:val="single" w:sz="4" w:space="0" w:color="auto"/>
              <w:right w:val="single" w:sz="12" w:space="0" w:color="auto"/>
            </w:tcBorders>
            <w:shd w:val="clear" w:color="auto" w:fill="auto"/>
            <w:noWrap/>
            <w:vAlign w:val="center"/>
            <w:hideMark/>
          </w:tcPr>
          <w:p w14:paraId="204BB3B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1.5</w:t>
            </w:r>
          </w:p>
        </w:tc>
      </w:tr>
      <w:tr w:rsidR="00D61393" w:rsidRPr="00D61393" w14:paraId="7EAD45ED" w14:textId="77777777" w:rsidTr="00D61393">
        <w:trPr>
          <w:trHeight w:val="315"/>
          <w:jc w:val="center"/>
        </w:trPr>
        <w:tc>
          <w:tcPr>
            <w:tcW w:w="1280" w:type="dxa"/>
            <w:vMerge/>
            <w:tcBorders>
              <w:top w:val="nil"/>
              <w:left w:val="single" w:sz="12" w:space="0" w:color="auto"/>
              <w:bottom w:val="single" w:sz="12" w:space="0" w:color="auto"/>
              <w:right w:val="single" w:sz="4" w:space="0" w:color="auto"/>
            </w:tcBorders>
            <w:vAlign w:val="center"/>
            <w:hideMark/>
          </w:tcPr>
          <w:p w14:paraId="34270E07" w14:textId="77777777" w:rsidR="00D61393" w:rsidRPr="00D61393" w:rsidRDefault="00D61393" w:rsidP="00D61393">
            <w:pPr>
              <w:contextualSpacing w:val="0"/>
              <w:rPr>
                <w:rFonts w:eastAsia="Times New Roman" w:cs="Times New Roman"/>
                <w:color w:val="000000"/>
                <w:szCs w:val="24"/>
              </w:rPr>
            </w:pPr>
          </w:p>
        </w:tc>
        <w:tc>
          <w:tcPr>
            <w:tcW w:w="1080" w:type="dxa"/>
            <w:tcBorders>
              <w:top w:val="nil"/>
              <w:left w:val="nil"/>
              <w:bottom w:val="single" w:sz="12" w:space="0" w:color="auto"/>
              <w:right w:val="single" w:sz="4" w:space="0" w:color="auto"/>
            </w:tcBorders>
            <w:shd w:val="clear" w:color="auto" w:fill="auto"/>
            <w:noWrap/>
            <w:vAlign w:val="center"/>
            <w:hideMark/>
          </w:tcPr>
          <w:p w14:paraId="5951FB08"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14</w:t>
            </w:r>
          </w:p>
        </w:tc>
        <w:tc>
          <w:tcPr>
            <w:tcW w:w="900" w:type="dxa"/>
            <w:tcBorders>
              <w:top w:val="nil"/>
              <w:left w:val="nil"/>
              <w:bottom w:val="single" w:sz="12" w:space="0" w:color="auto"/>
              <w:right w:val="single" w:sz="4" w:space="0" w:color="auto"/>
            </w:tcBorders>
            <w:shd w:val="clear" w:color="auto" w:fill="auto"/>
            <w:noWrap/>
            <w:vAlign w:val="center"/>
            <w:hideMark/>
          </w:tcPr>
          <w:p w14:paraId="39184F9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22.2</w:t>
            </w:r>
          </w:p>
        </w:tc>
        <w:tc>
          <w:tcPr>
            <w:tcW w:w="900" w:type="dxa"/>
            <w:tcBorders>
              <w:top w:val="nil"/>
              <w:left w:val="nil"/>
              <w:bottom w:val="single" w:sz="12" w:space="0" w:color="auto"/>
              <w:right w:val="single" w:sz="4" w:space="0" w:color="auto"/>
            </w:tcBorders>
            <w:shd w:val="clear" w:color="auto" w:fill="auto"/>
            <w:noWrap/>
            <w:vAlign w:val="center"/>
            <w:hideMark/>
          </w:tcPr>
          <w:p w14:paraId="74B29DC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22.3</w:t>
            </w:r>
          </w:p>
        </w:tc>
        <w:tc>
          <w:tcPr>
            <w:tcW w:w="900" w:type="dxa"/>
            <w:tcBorders>
              <w:top w:val="nil"/>
              <w:left w:val="nil"/>
              <w:bottom w:val="single" w:sz="12" w:space="0" w:color="auto"/>
              <w:right w:val="single" w:sz="4" w:space="0" w:color="auto"/>
            </w:tcBorders>
            <w:shd w:val="clear" w:color="auto" w:fill="auto"/>
            <w:noWrap/>
            <w:vAlign w:val="center"/>
            <w:hideMark/>
          </w:tcPr>
          <w:p w14:paraId="035C15D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22.3</w:t>
            </w:r>
          </w:p>
        </w:tc>
        <w:tc>
          <w:tcPr>
            <w:tcW w:w="900" w:type="dxa"/>
            <w:tcBorders>
              <w:top w:val="nil"/>
              <w:left w:val="nil"/>
              <w:bottom w:val="single" w:sz="12" w:space="0" w:color="auto"/>
              <w:right w:val="single" w:sz="4" w:space="0" w:color="auto"/>
            </w:tcBorders>
            <w:shd w:val="clear" w:color="auto" w:fill="auto"/>
            <w:noWrap/>
            <w:vAlign w:val="center"/>
            <w:hideMark/>
          </w:tcPr>
          <w:p w14:paraId="7EBFA436"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21.5</w:t>
            </w:r>
          </w:p>
        </w:tc>
        <w:tc>
          <w:tcPr>
            <w:tcW w:w="900" w:type="dxa"/>
            <w:tcBorders>
              <w:top w:val="nil"/>
              <w:left w:val="nil"/>
              <w:bottom w:val="single" w:sz="12" w:space="0" w:color="auto"/>
              <w:right w:val="single" w:sz="4" w:space="0" w:color="auto"/>
            </w:tcBorders>
            <w:shd w:val="clear" w:color="auto" w:fill="auto"/>
            <w:noWrap/>
            <w:vAlign w:val="center"/>
            <w:hideMark/>
          </w:tcPr>
          <w:p w14:paraId="190B9F29"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21.9</w:t>
            </w:r>
          </w:p>
        </w:tc>
        <w:tc>
          <w:tcPr>
            <w:tcW w:w="900" w:type="dxa"/>
            <w:tcBorders>
              <w:top w:val="nil"/>
              <w:left w:val="nil"/>
              <w:bottom w:val="single" w:sz="12" w:space="0" w:color="auto"/>
              <w:right w:val="single" w:sz="4" w:space="0" w:color="auto"/>
            </w:tcBorders>
            <w:shd w:val="clear" w:color="auto" w:fill="auto"/>
            <w:noWrap/>
            <w:vAlign w:val="center"/>
            <w:hideMark/>
          </w:tcPr>
          <w:p w14:paraId="6DE59EF7"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22.5</w:t>
            </w:r>
          </w:p>
        </w:tc>
        <w:tc>
          <w:tcPr>
            <w:tcW w:w="900" w:type="dxa"/>
            <w:tcBorders>
              <w:top w:val="nil"/>
              <w:left w:val="nil"/>
              <w:bottom w:val="single" w:sz="12" w:space="0" w:color="auto"/>
              <w:right w:val="single" w:sz="4" w:space="0" w:color="auto"/>
            </w:tcBorders>
            <w:shd w:val="clear" w:color="auto" w:fill="auto"/>
            <w:noWrap/>
            <w:vAlign w:val="center"/>
            <w:hideMark/>
          </w:tcPr>
          <w:p w14:paraId="1D1056FA"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22.1</w:t>
            </w:r>
          </w:p>
        </w:tc>
        <w:tc>
          <w:tcPr>
            <w:tcW w:w="900" w:type="dxa"/>
            <w:tcBorders>
              <w:top w:val="nil"/>
              <w:left w:val="nil"/>
              <w:bottom w:val="single" w:sz="12" w:space="0" w:color="auto"/>
              <w:right w:val="single" w:sz="12" w:space="0" w:color="auto"/>
            </w:tcBorders>
            <w:shd w:val="clear" w:color="auto" w:fill="auto"/>
            <w:noWrap/>
            <w:vAlign w:val="center"/>
            <w:hideMark/>
          </w:tcPr>
          <w:p w14:paraId="16E5885E" w14:textId="77777777" w:rsidR="00D61393" w:rsidRPr="00D61393" w:rsidRDefault="00D61393" w:rsidP="00D61393">
            <w:pPr>
              <w:contextualSpacing w:val="0"/>
              <w:jc w:val="center"/>
              <w:rPr>
                <w:rFonts w:eastAsia="Times New Roman" w:cs="Times New Roman"/>
                <w:color w:val="000000"/>
                <w:szCs w:val="24"/>
              </w:rPr>
            </w:pPr>
            <w:r w:rsidRPr="00D61393">
              <w:rPr>
                <w:rFonts w:eastAsia="Times New Roman" w:cs="Times New Roman"/>
                <w:color w:val="000000"/>
                <w:szCs w:val="24"/>
              </w:rPr>
              <w:t>1.0</w:t>
            </w:r>
          </w:p>
        </w:tc>
      </w:tr>
    </w:tbl>
    <w:p w14:paraId="2CA67473" w14:textId="1FCCD9B1" w:rsidR="00D61393" w:rsidRDefault="00D61393" w:rsidP="00D61393">
      <w:pPr>
        <w:jc w:val="center"/>
      </w:pPr>
    </w:p>
    <w:p w14:paraId="10C828DB" w14:textId="62D546A9" w:rsidR="00E64A35" w:rsidRDefault="00E64A35" w:rsidP="00D61393">
      <w:pPr>
        <w:jc w:val="center"/>
      </w:pPr>
    </w:p>
    <w:p w14:paraId="2B04A6C6" w14:textId="6C7ECA8D" w:rsidR="00B06CF8" w:rsidRDefault="00B06CF8" w:rsidP="00D61393">
      <w:pPr>
        <w:jc w:val="center"/>
      </w:pPr>
    </w:p>
    <w:p w14:paraId="572D6E25" w14:textId="04E76314" w:rsidR="00B06CF8" w:rsidRDefault="00B06CF8" w:rsidP="00D61393">
      <w:pPr>
        <w:jc w:val="center"/>
      </w:pPr>
    </w:p>
    <w:p w14:paraId="3BD09D61" w14:textId="4D326509" w:rsidR="00B06CF8" w:rsidRDefault="00B06CF8" w:rsidP="00D61393">
      <w:pPr>
        <w:jc w:val="center"/>
      </w:pPr>
    </w:p>
    <w:p w14:paraId="215AD919" w14:textId="35474ADB" w:rsidR="00B06CF8" w:rsidRDefault="00B06CF8" w:rsidP="00D61393">
      <w:pPr>
        <w:jc w:val="center"/>
      </w:pPr>
    </w:p>
    <w:p w14:paraId="0B0F84EF" w14:textId="6D6B8257" w:rsidR="00B06CF8" w:rsidRDefault="00B06CF8" w:rsidP="00D61393">
      <w:pPr>
        <w:jc w:val="center"/>
      </w:pPr>
    </w:p>
    <w:p w14:paraId="50742250" w14:textId="125547AF" w:rsidR="00B06CF8" w:rsidRDefault="00B06CF8" w:rsidP="00D61393">
      <w:pPr>
        <w:jc w:val="center"/>
      </w:pPr>
    </w:p>
    <w:p w14:paraId="6CABB846" w14:textId="12C93C02" w:rsidR="00B06CF8" w:rsidRDefault="00B06CF8" w:rsidP="00D61393">
      <w:pPr>
        <w:jc w:val="center"/>
      </w:pPr>
    </w:p>
    <w:p w14:paraId="4D0FE5D4" w14:textId="75F0CC54" w:rsidR="00B06CF8" w:rsidRDefault="00B06CF8" w:rsidP="00D61393">
      <w:pPr>
        <w:jc w:val="center"/>
      </w:pPr>
    </w:p>
    <w:p w14:paraId="31DBBC4F" w14:textId="55D3FE09" w:rsidR="00B06CF8" w:rsidRDefault="00B06CF8" w:rsidP="00D61393">
      <w:pPr>
        <w:jc w:val="center"/>
      </w:pPr>
    </w:p>
    <w:p w14:paraId="40C58938" w14:textId="752DFD09" w:rsidR="00B06CF8" w:rsidRDefault="00B06CF8" w:rsidP="00D61393">
      <w:pPr>
        <w:jc w:val="center"/>
      </w:pPr>
    </w:p>
    <w:p w14:paraId="00513E5B" w14:textId="47D1D4BE" w:rsidR="00B06CF8" w:rsidRDefault="00B06CF8" w:rsidP="00D61393">
      <w:pPr>
        <w:jc w:val="center"/>
      </w:pPr>
    </w:p>
    <w:p w14:paraId="57DB52E4" w14:textId="1407E333" w:rsidR="00B06CF8" w:rsidRDefault="00B06CF8" w:rsidP="00D61393">
      <w:pPr>
        <w:jc w:val="center"/>
      </w:pPr>
    </w:p>
    <w:p w14:paraId="0DA3E45C" w14:textId="637C662D" w:rsidR="00B06CF8" w:rsidRDefault="00B06CF8" w:rsidP="00D61393">
      <w:pPr>
        <w:jc w:val="center"/>
      </w:pPr>
    </w:p>
    <w:p w14:paraId="3668B480" w14:textId="69E15868" w:rsidR="00B06CF8" w:rsidRDefault="00B06CF8" w:rsidP="00D61393">
      <w:pPr>
        <w:jc w:val="center"/>
      </w:pPr>
    </w:p>
    <w:p w14:paraId="050979AF" w14:textId="7521844F" w:rsidR="00B06CF8" w:rsidRDefault="00B06CF8" w:rsidP="00D61393">
      <w:pPr>
        <w:jc w:val="center"/>
      </w:pPr>
    </w:p>
    <w:p w14:paraId="21DDCBCE" w14:textId="54E0501D" w:rsidR="00D11BFA" w:rsidRDefault="00D11BFA" w:rsidP="00D61393">
      <w:pPr>
        <w:jc w:val="center"/>
      </w:pPr>
    </w:p>
    <w:p w14:paraId="3C6E3DCE" w14:textId="77777777" w:rsidR="00D11BFA" w:rsidRDefault="00D11BFA" w:rsidP="00D61393">
      <w:pPr>
        <w:jc w:val="center"/>
      </w:pPr>
    </w:p>
    <w:p w14:paraId="07020413" w14:textId="6CA79C3B" w:rsidR="00E64A35" w:rsidRDefault="00B06CF8" w:rsidP="00D61393">
      <w:pPr>
        <w:jc w:val="center"/>
      </w:pPr>
      <w:r w:rsidRPr="00B06CF8">
        <w:rPr>
          <w:b/>
        </w:rPr>
        <w:lastRenderedPageBreak/>
        <w:t>Table 4.</w:t>
      </w:r>
      <w:r>
        <w:t xml:space="preserve"> </w:t>
      </w:r>
      <w:r w:rsidR="00D11BFA">
        <w:t xml:space="preserve">28-day </w:t>
      </w:r>
      <w:r>
        <w:t>Compressive Strength Results, psi</w:t>
      </w:r>
    </w:p>
    <w:p w14:paraId="6DB31422" w14:textId="0A183F43" w:rsidR="00B06CF8" w:rsidRDefault="00B06CF8" w:rsidP="00D61393">
      <w:pPr>
        <w:jc w:val="center"/>
      </w:pPr>
    </w:p>
    <w:tbl>
      <w:tblPr>
        <w:tblW w:w="9720" w:type="dxa"/>
        <w:jc w:val="center"/>
        <w:tblLook w:val="04A0" w:firstRow="1" w:lastRow="0" w:firstColumn="1" w:lastColumn="0" w:noHBand="0" w:noVBand="1"/>
      </w:tblPr>
      <w:tblGrid>
        <w:gridCol w:w="1403"/>
        <w:gridCol w:w="1240"/>
        <w:gridCol w:w="900"/>
        <w:gridCol w:w="900"/>
        <w:gridCol w:w="900"/>
        <w:gridCol w:w="900"/>
        <w:gridCol w:w="900"/>
        <w:gridCol w:w="900"/>
        <w:gridCol w:w="900"/>
        <w:gridCol w:w="900"/>
      </w:tblGrid>
      <w:tr w:rsidR="00B06CF8" w:rsidRPr="00B06CF8" w14:paraId="094B5D45" w14:textId="77777777" w:rsidTr="00B06CF8">
        <w:trPr>
          <w:trHeight w:val="458"/>
          <w:jc w:val="center"/>
        </w:trPr>
        <w:tc>
          <w:tcPr>
            <w:tcW w:w="12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1C7186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Mixture</w:t>
            </w:r>
          </w:p>
        </w:tc>
        <w:tc>
          <w:tcPr>
            <w:tcW w:w="124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DFFBA7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Curing Age (days)</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6A0AD0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1</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D1A20D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2</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E6A75E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3</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AEA5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4</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03C5B3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5</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683A6D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Batch 6</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3A474E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Mean</w:t>
            </w:r>
          </w:p>
        </w:tc>
        <w:tc>
          <w:tcPr>
            <w:tcW w:w="90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726746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Range</w:t>
            </w:r>
          </w:p>
        </w:tc>
      </w:tr>
      <w:tr w:rsidR="00B06CF8" w:rsidRPr="00B06CF8" w14:paraId="32EFD648" w14:textId="77777777" w:rsidTr="00B06CF8">
        <w:trPr>
          <w:trHeight w:val="458"/>
          <w:jc w:val="center"/>
        </w:trPr>
        <w:tc>
          <w:tcPr>
            <w:tcW w:w="1280" w:type="dxa"/>
            <w:vMerge/>
            <w:tcBorders>
              <w:top w:val="single" w:sz="4" w:space="0" w:color="auto"/>
              <w:left w:val="single" w:sz="12" w:space="0" w:color="auto"/>
              <w:bottom w:val="single" w:sz="4" w:space="0" w:color="auto"/>
              <w:right w:val="single" w:sz="4" w:space="0" w:color="auto"/>
            </w:tcBorders>
            <w:vAlign w:val="center"/>
            <w:hideMark/>
          </w:tcPr>
          <w:p w14:paraId="2B45E41A" w14:textId="77777777" w:rsidR="00B06CF8" w:rsidRPr="00B06CF8" w:rsidRDefault="00B06CF8" w:rsidP="00B06CF8">
            <w:pPr>
              <w:contextualSpacing w:val="0"/>
              <w:rPr>
                <w:rFonts w:eastAsia="Times New Roman" w:cs="Times New Roman"/>
                <w:color w:val="000000"/>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34C9097"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B53ADDA"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4413220"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42CDCBB"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81CA303"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DA682F5"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7FAB4D0"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7F77829" w14:textId="77777777" w:rsidR="00B06CF8" w:rsidRPr="00B06CF8" w:rsidRDefault="00B06CF8" w:rsidP="00B06CF8">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12" w:space="0" w:color="auto"/>
            </w:tcBorders>
            <w:vAlign w:val="center"/>
            <w:hideMark/>
          </w:tcPr>
          <w:p w14:paraId="6BC9AC9C" w14:textId="77777777" w:rsidR="00B06CF8" w:rsidRPr="00B06CF8" w:rsidRDefault="00B06CF8" w:rsidP="00B06CF8">
            <w:pPr>
              <w:contextualSpacing w:val="0"/>
              <w:rPr>
                <w:rFonts w:eastAsia="Times New Roman" w:cs="Times New Roman"/>
                <w:color w:val="000000"/>
                <w:szCs w:val="24"/>
              </w:rPr>
            </w:pPr>
          </w:p>
        </w:tc>
      </w:tr>
      <w:tr w:rsidR="00B06CF8" w:rsidRPr="00B06CF8" w14:paraId="70DEE1F7" w14:textId="77777777" w:rsidTr="00B06CF8">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vAlign w:val="center"/>
            <w:hideMark/>
          </w:tcPr>
          <w:p w14:paraId="35FC5A8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Commercial 3500</w:t>
            </w:r>
          </w:p>
        </w:tc>
        <w:tc>
          <w:tcPr>
            <w:tcW w:w="1240" w:type="dxa"/>
            <w:tcBorders>
              <w:top w:val="nil"/>
              <w:left w:val="nil"/>
              <w:bottom w:val="single" w:sz="4" w:space="0" w:color="auto"/>
              <w:right w:val="single" w:sz="4" w:space="0" w:color="auto"/>
            </w:tcBorders>
            <w:shd w:val="clear" w:color="auto" w:fill="auto"/>
            <w:noWrap/>
            <w:vAlign w:val="center"/>
            <w:hideMark/>
          </w:tcPr>
          <w:p w14:paraId="2D28D23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1216640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1960</w:t>
            </w:r>
          </w:p>
        </w:tc>
        <w:tc>
          <w:tcPr>
            <w:tcW w:w="900" w:type="dxa"/>
            <w:tcBorders>
              <w:top w:val="nil"/>
              <w:left w:val="nil"/>
              <w:bottom w:val="single" w:sz="4" w:space="0" w:color="auto"/>
              <w:right w:val="single" w:sz="4" w:space="0" w:color="auto"/>
            </w:tcBorders>
            <w:shd w:val="clear" w:color="auto" w:fill="auto"/>
            <w:noWrap/>
            <w:vAlign w:val="center"/>
            <w:hideMark/>
          </w:tcPr>
          <w:p w14:paraId="0008094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1910</w:t>
            </w:r>
          </w:p>
        </w:tc>
        <w:tc>
          <w:tcPr>
            <w:tcW w:w="900" w:type="dxa"/>
            <w:tcBorders>
              <w:top w:val="nil"/>
              <w:left w:val="nil"/>
              <w:bottom w:val="single" w:sz="4" w:space="0" w:color="auto"/>
              <w:right w:val="single" w:sz="4" w:space="0" w:color="auto"/>
            </w:tcBorders>
            <w:shd w:val="clear" w:color="auto" w:fill="auto"/>
            <w:noWrap/>
            <w:vAlign w:val="center"/>
            <w:hideMark/>
          </w:tcPr>
          <w:p w14:paraId="4F59C7F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2100</w:t>
            </w:r>
          </w:p>
        </w:tc>
        <w:tc>
          <w:tcPr>
            <w:tcW w:w="900" w:type="dxa"/>
            <w:tcBorders>
              <w:top w:val="nil"/>
              <w:left w:val="nil"/>
              <w:bottom w:val="single" w:sz="4" w:space="0" w:color="auto"/>
              <w:right w:val="single" w:sz="4" w:space="0" w:color="auto"/>
            </w:tcBorders>
            <w:shd w:val="clear" w:color="auto" w:fill="auto"/>
            <w:noWrap/>
            <w:vAlign w:val="center"/>
            <w:hideMark/>
          </w:tcPr>
          <w:p w14:paraId="4259CF7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2150</w:t>
            </w:r>
          </w:p>
        </w:tc>
        <w:tc>
          <w:tcPr>
            <w:tcW w:w="900" w:type="dxa"/>
            <w:tcBorders>
              <w:top w:val="nil"/>
              <w:left w:val="nil"/>
              <w:bottom w:val="single" w:sz="4" w:space="0" w:color="auto"/>
              <w:right w:val="single" w:sz="4" w:space="0" w:color="auto"/>
            </w:tcBorders>
            <w:shd w:val="clear" w:color="auto" w:fill="auto"/>
            <w:noWrap/>
            <w:vAlign w:val="center"/>
            <w:hideMark/>
          </w:tcPr>
          <w:p w14:paraId="0A77C85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2300</w:t>
            </w:r>
          </w:p>
        </w:tc>
        <w:tc>
          <w:tcPr>
            <w:tcW w:w="900" w:type="dxa"/>
            <w:tcBorders>
              <w:top w:val="nil"/>
              <w:left w:val="nil"/>
              <w:bottom w:val="single" w:sz="4" w:space="0" w:color="auto"/>
              <w:right w:val="single" w:sz="4" w:space="0" w:color="auto"/>
            </w:tcBorders>
            <w:shd w:val="clear" w:color="auto" w:fill="auto"/>
            <w:noWrap/>
            <w:vAlign w:val="center"/>
            <w:hideMark/>
          </w:tcPr>
          <w:p w14:paraId="304D847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2050</w:t>
            </w:r>
          </w:p>
        </w:tc>
        <w:tc>
          <w:tcPr>
            <w:tcW w:w="900" w:type="dxa"/>
            <w:tcBorders>
              <w:top w:val="nil"/>
              <w:left w:val="nil"/>
              <w:bottom w:val="single" w:sz="4" w:space="0" w:color="auto"/>
              <w:right w:val="single" w:sz="4" w:space="0" w:color="auto"/>
            </w:tcBorders>
            <w:shd w:val="clear" w:color="auto" w:fill="auto"/>
            <w:noWrap/>
            <w:vAlign w:val="center"/>
            <w:hideMark/>
          </w:tcPr>
          <w:p w14:paraId="28E0121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2078</w:t>
            </w:r>
          </w:p>
        </w:tc>
        <w:tc>
          <w:tcPr>
            <w:tcW w:w="900" w:type="dxa"/>
            <w:tcBorders>
              <w:top w:val="nil"/>
              <w:left w:val="nil"/>
              <w:bottom w:val="single" w:sz="4" w:space="0" w:color="auto"/>
              <w:right w:val="single" w:sz="12" w:space="0" w:color="auto"/>
            </w:tcBorders>
            <w:shd w:val="clear" w:color="auto" w:fill="auto"/>
            <w:noWrap/>
            <w:vAlign w:val="center"/>
            <w:hideMark/>
          </w:tcPr>
          <w:p w14:paraId="3723BB8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390</w:t>
            </w:r>
          </w:p>
        </w:tc>
      </w:tr>
      <w:tr w:rsidR="00B06CF8" w:rsidRPr="00B06CF8" w14:paraId="37033C5A"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318FC774"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73E3776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786837C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2350</w:t>
            </w:r>
          </w:p>
        </w:tc>
        <w:tc>
          <w:tcPr>
            <w:tcW w:w="900" w:type="dxa"/>
            <w:tcBorders>
              <w:top w:val="nil"/>
              <w:left w:val="nil"/>
              <w:bottom w:val="single" w:sz="4" w:space="0" w:color="auto"/>
              <w:right w:val="single" w:sz="4" w:space="0" w:color="auto"/>
            </w:tcBorders>
            <w:shd w:val="clear" w:color="auto" w:fill="auto"/>
            <w:noWrap/>
            <w:vAlign w:val="center"/>
            <w:hideMark/>
          </w:tcPr>
          <w:p w14:paraId="512FCDD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2400</w:t>
            </w:r>
          </w:p>
        </w:tc>
        <w:tc>
          <w:tcPr>
            <w:tcW w:w="900" w:type="dxa"/>
            <w:tcBorders>
              <w:top w:val="nil"/>
              <w:left w:val="nil"/>
              <w:bottom w:val="single" w:sz="4" w:space="0" w:color="auto"/>
              <w:right w:val="single" w:sz="4" w:space="0" w:color="auto"/>
            </w:tcBorders>
            <w:shd w:val="clear" w:color="auto" w:fill="auto"/>
            <w:noWrap/>
            <w:vAlign w:val="center"/>
            <w:hideMark/>
          </w:tcPr>
          <w:p w14:paraId="31F88C2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2590</w:t>
            </w:r>
          </w:p>
        </w:tc>
        <w:tc>
          <w:tcPr>
            <w:tcW w:w="900" w:type="dxa"/>
            <w:tcBorders>
              <w:top w:val="nil"/>
              <w:left w:val="nil"/>
              <w:bottom w:val="single" w:sz="4" w:space="0" w:color="auto"/>
              <w:right w:val="single" w:sz="4" w:space="0" w:color="auto"/>
            </w:tcBorders>
            <w:shd w:val="clear" w:color="auto" w:fill="auto"/>
            <w:noWrap/>
            <w:vAlign w:val="center"/>
            <w:hideMark/>
          </w:tcPr>
          <w:p w14:paraId="2725358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2590</w:t>
            </w:r>
          </w:p>
        </w:tc>
        <w:tc>
          <w:tcPr>
            <w:tcW w:w="900" w:type="dxa"/>
            <w:tcBorders>
              <w:top w:val="nil"/>
              <w:left w:val="nil"/>
              <w:bottom w:val="single" w:sz="4" w:space="0" w:color="auto"/>
              <w:right w:val="single" w:sz="4" w:space="0" w:color="auto"/>
            </w:tcBorders>
            <w:shd w:val="clear" w:color="auto" w:fill="auto"/>
            <w:noWrap/>
            <w:vAlign w:val="center"/>
            <w:hideMark/>
          </w:tcPr>
          <w:p w14:paraId="5982ED2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2640</w:t>
            </w:r>
          </w:p>
        </w:tc>
        <w:tc>
          <w:tcPr>
            <w:tcW w:w="900" w:type="dxa"/>
            <w:tcBorders>
              <w:top w:val="nil"/>
              <w:left w:val="nil"/>
              <w:bottom w:val="single" w:sz="4" w:space="0" w:color="auto"/>
              <w:right w:val="single" w:sz="4" w:space="0" w:color="auto"/>
            </w:tcBorders>
            <w:shd w:val="clear" w:color="auto" w:fill="auto"/>
            <w:noWrap/>
            <w:vAlign w:val="center"/>
            <w:hideMark/>
          </w:tcPr>
          <w:p w14:paraId="0ED0059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2480</w:t>
            </w:r>
          </w:p>
        </w:tc>
        <w:tc>
          <w:tcPr>
            <w:tcW w:w="900" w:type="dxa"/>
            <w:tcBorders>
              <w:top w:val="nil"/>
              <w:left w:val="nil"/>
              <w:bottom w:val="single" w:sz="4" w:space="0" w:color="auto"/>
              <w:right w:val="single" w:sz="4" w:space="0" w:color="auto"/>
            </w:tcBorders>
            <w:shd w:val="clear" w:color="auto" w:fill="auto"/>
            <w:noWrap/>
            <w:vAlign w:val="center"/>
            <w:hideMark/>
          </w:tcPr>
          <w:p w14:paraId="5D72922C"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2508</w:t>
            </w:r>
          </w:p>
        </w:tc>
        <w:tc>
          <w:tcPr>
            <w:tcW w:w="900" w:type="dxa"/>
            <w:tcBorders>
              <w:top w:val="nil"/>
              <w:left w:val="nil"/>
              <w:bottom w:val="single" w:sz="4" w:space="0" w:color="auto"/>
              <w:right w:val="single" w:sz="12" w:space="0" w:color="auto"/>
            </w:tcBorders>
            <w:shd w:val="clear" w:color="auto" w:fill="auto"/>
            <w:noWrap/>
            <w:vAlign w:val="center"/>
            <w:hideMark/>
          </w:tcPr>
          <w:p w14:paraId="0F5E7D8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290</w:t>
            </w:r>
          </w:p>
        </w:tc>
      </w:tr>
      <w:tr w:rsidR="00B06CF8" w:rsidRPr="00B06CF8" w14:paraId="28A25FAB"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122F1008"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3286B36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749CA47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2670</w:t>
            </w:r>
          </w:p>
        </w:tc>
        <w:tc>
          <w:tcPr>
            <w:tcW w:w="900" w:type="dxa"/>
            <w:tcBorders>
              <w:top w:val="nil"/>
              <w:left w:val="nil"/>
              <w:bottom w:val="single" w:sz="4" w:space="0" w:color="auto"/>
              <w:right w:val="single" w:sz="4" w:space="0" w:color="auto"/>
            </w:tcBorders>
            <w:shd w:val="clear" w:color="auto" w:fill="auto"/>
            <w:noWrap/>
            <w:vAlign w:val="center"/>
            <w:hideMark/>
          </w:tcPr>
          <w:p w14:paraId="385D8E3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2920</w:t>
            </w:r>
          </w:p>
        </w:tc>
        <w:tc>
          <w:tcPr>
            <w:tcW w:w="900" w:type="dxa"/>
            <w:tcBorders>
              <w:top w:val="nil"/>
              <w:left w:val="nil"/>
              <w:bottom w:val="single" w:sz="4" w:space="0" w:color="auto"/>
              <w:right w:val="single" w:sz="4" w:space="0" w:color="auto"/>
            </w:tcBorders>
            <w:shd w:val="clear" w:color="auto" w:fill="auto"/>
            <w:noWrap/>
            <w:vAlign w:val="center"/>
            <w:hideMark/>
          </w:tcPr>
          <w:p w14:paraId="7824D37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2790</w:t>
            </w:r>
          </w:p>
        </w:tc>
        <w:tc>
          <w:tcPr>
            <w:tcW w:w="900" w:type="dxa"/>
            <w:tcBorders>
              <w:top w:val="nil"/>
              <w:left w:val="nil"/>
              <w:bottom w:val="single" w:sz="4" w:space="0" w:color="auto"/>
              <w:right w:val="single" w:sz="4" w:space="0" w:color="auto"/>
            </w:tcBorders>
            <w:shd w:val="clear" w:color="auto" w:fill="auto"/>
            <w:noWrap/>
            <w:vAlign w:val="center"/>
            <w:hideMark/>
          </w:tcPr>
          <w:p w14:paraId="37D1DBD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2790</w:t>
            </w:r>
          </w:p>
        </w:tc>
        <w:tc>
          <w:tcPr>
            <w:tcW w:w="900" w:type="dxa"/>
            <w:tcBorders>
              <w:top w:val="nil"/>
              <w:left w:val="nil"/>
              <w:bottom w:val="single" w:sz="4" w:space="0" w:color="auto"/>
              <w:right w:val="single" w:sz="4" w:space="0" w:color="auto"/>
            </w:tcBorders>
            <w:shd w:val="clear" w:color="auto" w:fill="auto"/>
            <w:noWrap/>
            <w:vAlign w:val="center"/>
            <w:hideMark/>
          </w:tcPr>
          <w:p w14:paraId="08EABB5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2780</w:t>
            </w:r>
          </w:p>
        </w:tc>
        <w:tc>
          <w:tcPr>
            <w:tcW w:w="900" w:type="dxa"/>
            <w:tcBorders>
              <w:top w:val="nil"/>
              <w:left w:val="nil"/>
              <w:bottom w:val="single" w:sz="4" w:space="0" w:color="auto"/>
              <w:right w:val="single" w:sz="4" w:space="0" w:color="auto"/>
            </w:tcBorders>
            <w:shd w:val="clear" w:color="auto" w:fill="auto"/>
            <w:noWrap/>
            <w:vAlign w:val="center"/>
            <w:hideMark/>
          </w:tcPr>
          <w:p w14:paraId="3022C1D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2740</w:t>
            </w:r>
          </w:p>
        </w:tc>
        <w:tc>
          <w:tcPr>
            <w:tcW w:w="900" w:type="dxa"/>
            <w:tcBorders>
              <w:top w:val="nil"/>
              <w:left w:val="nil"/>
              <w:bottom w:val="single" w:sz="4" w:space="0" w:color="auto"/>
              <w:right w:val="single" w:sz="4" w:space="0" w:color="auto"/>
            </w:tcBorders>
            <w:shd w:val="clear" w:color="auto" w:fill="auto"/>
            <w:noWrap/>
            <w:vAlign w:val="center"/>
            <w:hideMark/>
          </w:tcPr>
          <w:p w14:paraId="407333E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2782</w:t>
            </w:r>
          </w:p>
        </w:tc>
        <w:tc>
          <w:tcPr>
            <w:tcW w:w="900" w:type="dxa"/>
            <w:tcBorders>
              <w:top w:val="nil"/>
              <w:left w:val="nil"/>
              <w:bottom w:val="single" w:sz="4" w:space="0" w:color="auto"/>
              <w:right w:val="single" w:sz="12" w:space="0" w:color="auto"/>
            </w:tcBorders>
            <w:shd w:val="clear" w:color="auto" w:fill="auto"/>
            <w:noWrap/>
            <w:vAlign w:val="center"/>
            <w:hideMark/>
          </w:tcPr>
          <w:p w14:paraId="1E9A830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250</w:t>
            </w:r>
          </w:p>
        </w:tc>
      </w:tr>
      <w:tr w:rsidR="00B06CF8" w:rsidRPr="00B06CF8" w14:paraId="1B994877"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783CE3B5"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52F8869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14</w:t>
            </w:r>
          </w:p>
        </w:tc>
        <w:tc>
          <w:tcPr>
            <w:tcW w:w="900" w:type="dxa"/>
            <w:tcBorders>
              <w:top w:val="nil"/>
              <w:left w:val="nil"/>
              <w:bottom w:val="single" w:sz="4" w:space="0" w:color="auto"/>
              <w:right w:val="single" w:sz="4" w:space="0" w:color="auto"/>
            </w:tcBorders>
            <w:shd w:val="clear" w:color="auto" w:fill="auto"/>
            <w:noWrap/>
            <w:vAlign w:val="center"/>
            <w:hideMark/>
          </w:tcPr>
          <w:p w14:paraId="235162F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3000</w:t>
            </w:r>
          </w:p>
        </w:tc>
        <w:tc>
          <w:tcPr>
            <w:tcW w:w="900" w:type="dxa"/>
            <w:tcBorders>
              <w:top w:val="nil"/>
              <w:left w:val="nil"/>
              <w:bottom w:val="single" w:sz="4" w:space="0" w:color="auto"/>
              <w:right w:val="single" w:sz="4" w:space="0" w:color="auto"/>
            </w:tcBorders>
            <w:shd w:val="clear" w:color="auto" w:fill="auto"/>
            <w:noWrap/>
            <w:vAlign w:val="center"/>
            <w:hideMark/>
          </w:tcPr>
          <w:p w14:paraId="044DA7F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3000</w:t>
            </w:r>
          </w:p>
        </w:tc>
        <w:tc>
          <w:tcPr>
            <w:tcW w:w="900" w:type="dxa"/>
            <w:tcBorders>
              <w:top w:val="nil"/>
              <w:left w:val="nil"/>
              <w:bottom w:val="single" w:sz="4" w:space="0" w:color="auto"/>
              <w:right w:val="single" w:sz="4" w:space="0" w:color="auto"/>
            </w:tcBorders>
            <w:shd w:val="clear" w:color="auto" w:fill="auto"/>
            <w:noWrap/>
            <w:vAlign w:val="center"/>
            <w:hideMark/>
          </w:tcPr>
          <w:p w14:paraId="3230B41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3050</w:t>
            </w:r>
          </w:p>
        </w:tc>
        <w:tc>
          <w:tcPr>
            <w:tcW w:w="900" w:type="dxa"/>
            <w:tcBorders>
              <w:top w:val="nil"/>
              <w:left w:val="nil"/>
              <w:bottom w:val="single" w:sz="4" w:space="0" w:color="auto"/>
              <w:right w:val="single" w:sz="4" w:space="0" w:color="auto"/>
            </w:tcBorders>
            <w:shd w:val="clear" w:color="auto" w:fill="auto"/>
            <w:noWrap/>
            <w:vAlign w:val="center"/>
            <w:hideMark/>
          </w:tcPr>
          <w:p w14:paraId="1179097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3040</w:t>
            </w:r>
          </w:p>
        </w:tc>
        <w:tc>
          <w:tcPr>
            <w:tcW w:w="900" w:type="dxa"/>
            <w:tcBorders>
              <w:top w:val="nil"/>
              <w:left w:val="nil"/>
              <w:bottom w:val="single" w:sz="4" w:space="0" w:color="auto"/>
              <w:right w:val="single" w:sz="4" w:space="0" w:color="auto"/>
            </w:tcBorders>
            <w:shd w:val="clear" w:color="auto" w:fill="auto"/>
            <w:noWrap/>
            <w:vAlign w:val="center"/>
            <w:hideMark/>
          </w:tcPr>
          <w:p w14:paraId="6B6D7F9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2800</w:t>
            </w:r>
          </w:p>
        </w:tc>
        <w:tc>
          <w:tcPr>
            <w:tcW w:w="900" w:type="dxa"/>
            <w:tcBorders>
              <w:top w:val="nil"/>
              <w:left w:val="nil"/>
              <w:bottom w:val="single" w:sz="4" w:space="0" w:color="auto"/>
              <w:right w:val="single" w:sz="4" w:space="0" w:color="auto"/>
            </w:tcBorders>
            <w:shd w:val="clear" w:color="auto" w:fill="auto"/>
            <w:noWrap/>
            <w:vAlign w:val="center"/>
            <w:hideMark/>
          </w:tcPr>
          <w:p w14:paraId="62C4776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2940</w:t>
            </w:r>
          </w:p>
        </w:tc>
        <w:tc>
          <w:tcPr>
            <w:tcW w:w="900" w:type="dxa"/>
            <w:tcBorders>
              <w:top w:val="nil"/>
              <w:left w:val="nil"/>
              <w:bottom w:val="single" w:sz="4" w:space="0" w:color="auto"/>
              <w:right w:val="single" w:sz="4" w:space="0" w:color="auto"/>
            </w:tcBorders>
            <w:shd w:val="clear" w:color="auto" w:fill="auto"/>
            <w:noWrap/>
            <w:vAlign w:val="center"/>
            <w:hideMark/>
          </w:tcPr>
          <w:p w14:paraId="2625A96C"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2972</w:t>
            </w:r>
          </w:p>
        </w:tc>
        <w:tc>
          <w:tcPr>
            <w:tcW w:w="900" w:type="dxa"/>
            <w:tcBorders>
              <w:top w:val="nil"/>
              <w:left w:val="nil"/>
              <w:bottom w:val="single" w:sz="4" w:space="0" w:color="auto"/>
              <w:right w:val="single" w:sz="12" w:space="0" w:color="auto"/>
            </w:tcBorders>
            <w:shd w:val="clear" w:color="auto" w:fill="auto"/>
            <w:noWrap/>
            <w:vAlign w:val="center"/>
            <w:hideMark/>
          </w:tcPr>
          <w:p w14:paraId="0DE1698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250</w:t>
            </w:r>
          </w:p>
        </w:tc>
      </w:tr>
      <w:tr w:rsidR="00B06CF8" w:rsidRPr="00B06CF8" w14:paraId="0E0D1D9B" w14:textId="77777777" w:rsidTr="00B06CF8">
        <w:trPr>
          <w:trHeight w:val="315"/>
          <w:jc w:val="center"/>
        </w:trPr>
        <w:tc>
          <w:tcPr>
            <w:tcW w:w="9720"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627DC57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 </w:t>
            </w:r>
          </w:p>
        </w:tc>
      </w:tr>
      <w:tr w:rsidR="00B06CF8" w:rsidRPr="00B06CF8" w14:paraId="09882E03" w14:textId="77777777" w:rsidTr="00B06CF8">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vAlign w:val="center"/>
            <w:hideMark/>
          </w:tcPr>
          <w:p w14:paraId="28357FB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Commercial ACI</w:t>
            </w:r>
          </w:p>
        </w:tc>
        <w:tc>
          <w:tcPr>
            <w:tcW w:w="1240" w:type="dxa"/>
            <w:tcBorders>
              <w:top w:val="nil"/>
              <w:left w:val="nil"/>
              <w:bottom w:val="single" w:sz="4" w:space="0" w:color="auto"/>
              <w:right w:val="single" w:sz="4" w:space="0" w:color="auto"/>
            </w:tcBorders>
            <w:shd w:val="clear" w:color="auto" w:fill="auto"/>
            <w:noWrap/>
            <w:vAlign w:val="center"/>
            <w:hideMark/>
          </w:tcPr>
          <w:p w14:paraId="2770DF4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30336EA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2720</w:t>
            </w:r>
          </w:p>
        </w:tc>
        <w:tc>
          <w:tcPr>
            <w:tcW w:w="900" w:type="dxa"/>
            <w:tcBorders>
              <w:top w:val="nil"/>
              <w:left w:val="nil"/>
              <w:bottom w:val="single" w:sz="4" w:space="0" w:color="auto"/>
              <w:right w:val="single" w:sz="4" w:space="0" w:color="auto"/>
            </w:tcBorders>
            <w:shd w:val="clear" w:color="auto" w:fill="auto"/>
            <w:noWrap/>
            <w:vAlign w:val="center"/>
            <w:hideMark/>
          </w:tcPr>
          <w:p w14:paraId="4029DDA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2620</w:t>
            </w:r>
          </w:p>
        </w:tc>
        <w:tc>
          <w:tcPr>
            <w:tcW w:w="900" w:type="dxa"/>
            <w:tcBorders>
              <w:top w:val="nil"/>
              <w:left w:val="nil"/>
              <w:bottom w:val="single" w:sz="4" w:space="0" w:color="auto"/>
              <w:right w:val="single" w:sz="4" w:space="0" w:color="auto"/>
            </w:tcBorders>
            <w:shd w:val="clear" w:color="auto" w:fill="auto"/>
            <w:noWrap/>
            <w:vAlign w:val="center"/>
            <w:hideMark/>
          </w:tcPr>
          <w:p w14:paraId="212944B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2750</w:t>
            </w:r>
          </w:p>
        </w:tc>
        <w:tc>
          <w:tcPr>
            <w:tcW w:w="900" w:type="dxa"/>
            <w:tcBorders>
              <w:top w:val="nil"/>
              <w:left w:val="nil"/>
              <w:bottom w:val="single" w:sz="4" w:space="0" w:color="auto"/>
              <w:right w:val="single" w:sz="4" w:space="0" w:color="auto"/>
            </w:tcBorders>
            <w:shd w:val="clear" w:color="auto" w:fill="auto"/>
            <w:noWrap/>
            <w:vAlign w:val="center"/>
            <w:hideMark/>
          </w:tcPr>
          <w:p w14:paraId="473DA2F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2890</w:t>
            </w:r>
          </w:p>
        </w:tc>
        <w:tc>
          <w:tcPr>
            <w:tcW w:w="900" w:type="dxa"/>
            <w:tcBorders>
              <w:top w:val="nil"/>
              <w:left w:val="nil"/>
              <w:bottom w:val="single" w:sz="4" w:space="0" w:color="auto"/>
              <w:right w:val="single" w:sz="4" w:space="0" w:color="auto"/>
            </w:tcBorders>
            <w:shd w:val="clear" w:color="auto" w:fill="auto"/>
            <w:noWrap/>
            <w:vAlign w:val="center"/>
            <w:hideMark/>
          </w:tcPr>
          <w:p w14:paraId="22A1444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2890</w:t>
            </w:r>
          </w:p>
        </w:tc>
        <w:tc>
          <w:tcPr>
            <w:tcW w:w="900" w:type="dxa"/>
            <w:tcBorders>
              <w:top w:val="nil"/>
              <w:left w:val="nil"/>
              <w:bottom w:val="single" w:sz="4" w:space="0" w:color="auto"/>
              <w:right w:val="single" w:sz="4" w:space="0" w:color="auto"/>
            </w:tcBorders>
            <w:shd w:val="clear" w:color="auto" w:fill="auto"/>
            <w:noWrap/>
            <w:vAlign w:val="center"/>
            <w:hideMark/>
          </w:tcPr>
          <w:p w14:paraId="1FC454B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2790</w:t>
            </w:r>
          </w:p>
        </w:tc>
        <w:tc>
          <w:tcPr>
            <w:tcW w:w="900" w:type="dxa"/>
            <w:tcBorders>
              <w:top w:val="nil"/>
              <w:left w:val="nil"/>
              <w:bottom w:val="single" w:sz="4" w:space="0" w:color="auto"/>
              <w:right w:val="single" w:sz="4" w:space="0" w:color="auto"/>
            </w:tcBorders>
            <w:shd w:val="clear" w:color="auto" w:fill="auto"/>
            <w:noWrap/>
            <w:vAlign w:val="center"/>
            <w:hideMark/>
          </w:tcPr>
          <w:p w14:paraId="49F3E2C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2777</w:t>
            </w:r>
          </w:p>
        </w:tc>
        <w:tc>
          <w:tcPr>
            <w:tcW w:w="900" w:type="dxa"/>
            <w:tcBorders>
              <w:top w:val="nil"/>
              <w:left w:val="nil"/>
              <w:bottom w:val="single" w:sz="4" w:space="0" w:color="auto"/>
              <w:right w:val="single" w:sz="12" w:space="0" w:color="auto"/>
            </w:tcBorders>
            <w:shd w:val="clear" w:color="auto" w:fill="auto"/>
            <w:noWrap/>
            <w:vAlign w:val="center"/>
            <w:hideMark/>
          </w:tcPr>
          <w:p w14:paraId="2C4FB96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270</w:t>
            </w:r>
          </w:p>
        </w:tc>
      </w:tr>
      <w:tr w:rsidR="00B06CF8" w:rsidRPr="00B06CF8" w14:paraId="0CA0E619"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4859E628"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3BDF67C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049DB9B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3080</w:t>
            </w:r>
          </w:p>
        </w:tc>
        <w:tc>
          <w:tcPr>
            <w:tcW w:w="900" w:type="dxa"/>
            <w:tcBorders>
              <w:top w:val="nil"/>
              <w:left w:val="nil"/>
              <w:bottom w:val="single" w:sz="4" w:space="0" w:color="auto"/>
              <w:right w:val="single" w:sz="4" w:space="0" w:color="auto"/>
            </w:tcBorders>
            <w:shd w:val="clear" w:color="auto" w:fill="auto"/>
            <w:noWrap/>
            <w:vAlign w:val="center"/>
            <w:hideMark/>
          </w:tcPr>
          <w:p w14:paraId="31EAEC6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3060</w:t>
            </w:r>
          </w:p>
        </w:tc>
        <w:tc>
          <w:tcPr>
            <w:tcW w:w="900" w:type="dxa"/>
            <w:tcBorders>
              <w:top w:val="nil"/>
              <w:left w:val="nil"/>
              <w:bottom w:val="single" w:sz="4" w:space="0" w:color="auto"/>
              <w:right w:val="single" w:sz="4" w:space="0" w:color="auto"/>
            </w:tcBorders>
            <w:shd w:val="clear" w:color="auto" w:fill="auto"/>
            <w:noWrap/>
            <w:vAlign w:val="center"/>
            <w:hideMark/>
          </w:tcPr>
          <w:p w14:paraId="1C7B675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3390</w:t>
            </w:r>
          </w:p>
        </w:tc>
        <w:tc>
          <w:tcPr>
            <w:tcW w:w="900" w:type="dxa"/>
            <w:tcBorders>
              <w:top w:val="nil"/>
              <w:left w:val="nil"/>
              <w:bottom w:val="single" w:sz="4" w:space="0" w:color="auto"/>
              <w:right w:val="single" w:sz="4" w:space="0" w:color="auto"/>
            </w:tcBorders>
            <w:shd w:val="clear" w:color="auto" w:fill="auto"/>
            <w:noWrap/>
            <w:vAlign w:val="center"/>
            <w:hideMark/>
          </w:tcPr>
          <w:p w14:paraId="4537174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3220</w:t>
            </w:r>
          </w:p>
        </w:tc>
        <w:tc>
          <w:tcPr>
            <w:tcW w:w="900" w:type="dxa"/>
            <w:tcBorders>
              <w:top w:val="nil"/>
              <w:left w:val="nil"/>
              <w:bottom w:val="single" w:sz="4" w:space="0" w:color="auto"/>
              <w:right w:val="single" w:sz="4" w:space="0" w:color="auto"/>
            </w:tcBorders>
            <w:shd w:val="clear" w:color="auto" w:fill="auto"/>
            <w:noWrap/>
            <w:vAlign w:val="center"/>
            <w:hideMark/>
          </w:tcPr>
          <w:p w14:paraId="6D84762C"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3190</w:t>
            </w:r>
          </w:p>
        </w:tc>
        <w:tc>
          <w:tcPr>
            <w:tcW w:w="900" w:type="dxa"/>
            <w:tcBorders>
              <w:top w:val="nil"/>
              <w:left w:val="nil"/>
              <w:bottom w:val="single" w:sz="4" w:space="0" w:color="auto"/>
              <w:right w:val="single" w:sz="4" w:space="0" w:color="auto"/>
            </w:tcBorders>
            <w:shd w:val="clear" w:color="auto" w:fill="auto"/>
            <w:noWrap/>
            <w:vAlign w:val="center"/>
            <w:hideMark/>
          </w:tcPr>
          <w:p w14:paraId="0DB67A7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3150</w:t>
            </w:r>
          </w:p>
        </w:tc>
        <w:tc>
          <w:tcPr>
            <w:tcW w:w="900" w:type="dxa"/>
            <w:tcBorders>
              <w:top w:val="nil"/>
              <w:left w:val="nil"/>
              <w:bottom w:val="single" w:sz="4" w:space="0" w:color="auto"/>
              <w:right w:val="single" w:sz="4" w:space="0" w:color="auto"/>
            </w:tcBorders>
            <w:shd w:val="clear" w:color="auto" w:fill="auto"/>
            <w:noWrap/>
            <w:vAlign w:val="center"/>
            <w:hideMark/>
          </w:tcPr>
          <w:p w14:paraId="2C84B9B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3182</w:t>
            </w:r>
          </w:p>
        </w:tc>
        <w:tc>
          <w:tcPr>
            <w:tcW w:w="900" w:type="dxa"/>
            <w:tcBorders>
              <w:top w:val="nil"/>
              <w:left w:val="nil"/>
              <w:bottom w:val="single" w:sz="4" w:space="0" w:color="auto"/>
              <w:right w:val="single" w:sz="12" w:space="0" w:color="auto"/>
            </w:tcBorders>
            <w:shd w:val="clear" w:color="auto" w:fill="auto"/>
            <w:noWrap/>
            <w:vAlign w:val="center"/>
            <w:hideMark/>
          </w:tcPr>
          <w:p w14:paraId="7AD65C5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330</w:t>
            </w:r>
          </w:p>
        </w:tc>
      </w:tr>
      <w:tr w:rsidR="00B06CF8" w:rsidRPr="00B06CF8" w14:paraId="7E4CE1C0"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13A80FFF"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317A64F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3F80C5A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3470</w:t>
            </w:r>
          </w:p>
        </w:tc>
        <w:tc>
          <w:tcPr>
            <w:tcW w:w="900" w:type="dxa"/>
            <w:tcBorders>
              <w:top w:val="nil"/>
              <w:left w:val="nil"/>
              <w:bottom w:val="single" w:sz="4" w:space="0" w:color="auto"/>
              <w:right w:val="single" w:sz="4" w:space="0" w:color="auto"/>
            </w:tcBorders>
            <w:shd w:val="clear" w:color="auto" w:fill="auto"/>
            <w:noWrap/>
            <w:vAlign w:val="center"/>
            <w:hideMark/>
          </w:tcPr>
          <w:p w14:paraId="4A2A802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3480</w:t>
            </w:r>
          </w:p>
        </w:tc>
        <w:tc>
          <w:tcPr>
            <w:tcW w:w="900" w:type="dxa"/>
            <w:tcBorders>
              <w:top w:val="nil"/>
              <w:left w:val="nil"/>
              <w:bottom w:val="single" w:sz="4" w:space="0" w:color="auto"/>
              <w:right w:val="single" w:sz="4" w:space="0" w:color="auto"/>
            </w:tcBorders>
            <w:shd w:val="clear" w:color="auto" w:fill="auto"/>
            <w:noWrap/>
            <w:vAlign w:val="center"/>
            <w:hideMark/>
          </w:tcPr>
          <w:p w14:paraId="5B839A7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3720</w:t>
            </w:r>
          </w:p>
        </w:tc>
        <w:tc>
          <w:tcPr>
            <w:tcW w:w="900" w:type="dxa"/>
            <w:tcBorders>
              <w:top w:val="nil"/>
              <w:left w:val="nil"/>
              <w:bottom w:val="single" w:sz="4" w:space="0" w:color="auto"/>
              <w:right w:val="single" w:sz="4" w:space="0" w:color="auto"/>
            </w:tcBorders>
            <w:shd w:val="clear" w:color="auto" w:fill="auto"/>
            <w:noWrap/>
            <w:vAlign w:val="center"/>
            <w:hideMark/>
          </w:tcPr>
          <w:p w14:paraId="62C9541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3450</w:t>
            </w:r>
          </w:p>
        </w:tc>
        <w:tc>
          <w:tcPr>
            <w:tcW w:w="900" w:type="dxa"/>
            <w:tcBorders>
              <w:top w:val="nil"/>
              <w:left w:val="nil"/>
              <w:bottom w:val="single" w:sz="4" w:space="0" w:color="auto"/>
              <w:right w:val="single" w:sz="4" w:space="0" w:color="auto"/>
            </w:tcBorders>
            <w:shd w:val="clear" w:color="auto" w:fill="auto"/>
            <w:noWrap/>
            <w:vAlign w:val="center"/>
            <w:hideMark/>
          </w:tcPr>
          <w:p w14:paraId="60ACE60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3530</w:t>
            </w:r>
          </w:p>
        </w:tc>
        <w:tc>
          <w:tcPr>
            <w:tcW w:w="900" w:type="dxa"/>
            <w:tcBorders>
              <w:top w:val="nil"/>
              <w:left w:val="nil"/>
              <w:bottom w:val="single" w:sz="4" w:space="0" w:color="auto"/>
              <w:right w:val="single" w:sz="4" w:space="0" w:color="auto"/>
            </w:tcBorders>
            <w:shd w:val="clear" w:color="auto" w:fill="auto"/>
            <w:noWrap/>
            <w:vAlign w:val="center"/>
            <w:hideMark/>
          </w:tcPr>
          <w:p w14:paraId="6401804B"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3370</w:t>
            </w:r>
          </w:p>
        </w:tc>
        <w:tc>
          <w:tcPr>
            <w:tcW w:w="900" w:type="dxa"/>
            <w:tcBorders>
              <w:top w:val="nil"/>
              <w:left w:val="nil"/>
              <w:bottom w:val="single" w:sz="4" w:space="0" w:color="auto"/>
              <w:right w:val="single" w:sz="4" w:space="0" w:color="auto"/>
            </w:tcBorders>
            <w:shd w:val="clear" w:color="auto" w:fill="auto"/>
            <w:noWrap/>
            <w:vAlign w:val="center"/>
            <w:hideMark/>
          </w:tcPr>
          <w:p w14:paraId="28A3B0B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3503</w:t>
            </w:r>
          </w:p>
        </w:tc>
        <w:tc>
          <w:tcPr>
            <w:tcW w:w="900" w:type="dxa"/>
            <w:tcBorders>
              <w:top w:val="nil"/>
              <w:left w:val="nil"/>
              <w:bottom w:val="single" w:sz="4" w:space="0" w:color="auto"/>
              <w:right w:val="single" w:sz="12" w:space="0" w:color="auto"/>
            </w:tcBorders>
            <w:shd w:val="clear" w:color="auto" w:fill="auto"/>
            <w:noWrap/>
            <w:vAlign w:val="center"/>
            <w:hideMark/>
          </w:tcPr>
          <w:p w14:paraId="2ABF0C7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350</w:t>
            </w:r>
          </w:p>
        </w:tc>
      </w:tr>
      <w:tr w:rsidR="00B06CF8" w:rsidRPr="00B06CF8" w14:paraId="7CF22AD3"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667D8460"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784C3A0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14</w:t>
            </w:r>
          </w:p>
        </w:tc>
        <w:tc>
          <w:tcPr>
            <w:tcW w:w="900" w:type="dxa"/>
            <w:tcBorders>
              <w:top w:val="nil"/>
              <w:left w:val="nil"/>
              <w:bottom w:val="single" w:sz="4" w:space="0" w:color="auto"/>
              <w:right w:val="single" w:sz="4" w:space="0" w:color="auto"/>
            </w:tcBorders>
            <w:shd w:val="clear" w:color="auto" w:fill="auto"/>
            <w:noWrap/>
            <w:vAlign w:val="center"/>
            <w:hideMark/>
          </w:tcPr>
          <w:p w14:paraId="1F5A1E1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3620</w:t>
            </w:r>
          </w:p>
        </w:tc>
        <w:tc>
          <w:tcPr>
            <w:tcW w:w="900" w:type="dxa"/>
            <w:tcBorders>
              <w:top w:val="nil"/>
              <w:left w:val="nil"/>
              <w:bottom w:val="single" w:sz="4" w:space="0" w:color="auto"/>
              <w:right w:val="single" w:sz="4" w:space="0" w:color="auto"/>
            </w:tcBorders>
            <w:shd w:val="clear" w:color="auto" w:fill="auto"/>
            <w:noWrap/>
            <w:vAlign w:val="center"/>
            <w:hideMark/>
          </w:tcPr>
          <w:p w14:paraId="5F42322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3560</w:t>
            </w:r>
          </w:p>
        </w:tc>
        <w:tc>
          <w:tcPr>
            <w:tcW w:w="900" w:type="dxa"/>
            <w:tcBorders>
              <w:top w:val="nil"/>
              <w:left w:val="nil"/>
              <w:bottom w:val="single" w:sz="4" w:space="0" w:color="auto"/>
              <w:right w:val="single" w:sz="4" w:space="0" w:color="auto"/>
            </w:tcBorders>
            <w:shd w:val="clear" w:color="auto" w:fill="auto"/>
            <w:noWrap/>
            <w:vAlign w:val="center"/>
            <w:hideMark/>
          </w:tcPr>
          <w:p w14:paraId="098AC01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3720</w:t>
            </w:r>
          </w:p>
        </w:tc>
        <w:tc>
          <w:tcPr>
            <w:tcW w:w="900" w:type="dxa"/>
            <w:tcBorders>
              <w:top w:val="nil"/>
              <w:left w:val="nil"/>
              <w:bottom w:val="single" w:sz="4" w:space="0" w:color="auto"/>
              <w:right w:val="single" w:sz="4" w:space="0" w:color="auto"/>
            </w:tcBorders>
            <w:shd w:val="clear" w:color="auto" w:fill="auto"/>
            <w:noWrap/>
            <w:vAlign w:val="center"/>
            <w:hideMark/>
          </w:tcPr>
          <w:p w14:paraId="2AF6DAA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3590</w:t>
            </w:r>
          </w:p>
        </w:tc>
        <w:tc>
          <w:tcPr>
            <w:tcW w:w="900" w:type="dxa"/>
            <w:tcBorders>
              <w:top w:val="nil"/>
              <w:left w:val="nil"/>
              <w:bottom w:val="single" w:sz="4" w:space="0" w:color="auto"/>
              <w:right w:val="single" w:sz="4" w:space="0" w:color="auto"/>
            </w:tcBorders>
            <w:shd w:val="clear" w:color="auto" w:fill="auto"/>
            <w:noWrap/>
            <w:vAlign w:val="center"/>
            <w:hideMark/>
          </w:tcPr>
          <w:p w14:paraId="5B2E7B3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3520</w:t>
            </w:r>
          </w:p>
        </w:tc>
        <w:tc>
          <w:tcPr>
            <w:tcW w:w="900" w:type="dxa"/>
            <w:tcBorders>
              <w:top w:val="nil"/>
              <w:left w:val="nil"/>
              <w:bottom w:val="single" w:sz="4" w:space="0" w:color="auto"/>
              <w:right w:val="single" w:sz="4" w:space="0" w:color="auto"/>
            </w:tcBorders>
            <w:shd w:val="clear" w:color="auto" w:fill="auto"/>
            <w:noWrap/>
            <w:vAlign w:val="center"/>
            <w:hideMark/>
          </w:tcPr>
          <w:p w14:paraId="213A3C0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3610</w:t>
            </w:r>
          </w:p>
        </w:tc>
        <w:tc>
          <w:tcPr>
            <w:tcW w:w="900" w:type="dxa"/>
            <w:tcBorders>
              <w:top w:val="nil"/>
              <w:left w:val="nil"/>
              <w:bottom w:val="single" w:sz="4" w:space="0" w:color="auto"/>
              <w:right w:val="single" w:sz="4" w:space="0" w:color="auto"/>
            </w:tcBorders>
            <w:shd w:val="clear" w:color="auto" w:fill="auto"/>
            <w:noWrap/>
            <w:vAlign w:val="center"/>
            <w:hideMark/>
          </w:tcPr>
          <w:p w14:paraId="521CEDB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3603</w:t>
            </w:r>
          </w:p>
        </w:tc>
        <w:tc>
          <w:tcPr>
            <w:tcW w:w="900" w:type="dxa"/>
            <w:tcBorders>
              <w:top w:val="nil"/>
              <w:left w:val="nil"/>
              <w:bottom w:val="single" w:sz="4" w:space="0" w:color="auto"/>
              <w:right w:val="single" w:sz="12" w:space="0" w:color="auto"/>
            </w:tcBorders>
            <w:shd w:val="clear" w:color="auto" w:fill="auto"/>
            <w:noWrap/>
            <w:vAlign w:val="center"/>
            <w:hideMark/>
          </w:tcPr>
          <w:p w14:paraId="3AD79EC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200</w:t>
            </w:r>
          </w:p>
        </w:tc>
      </w:tr>
      <w:tr w:rsidR="00B06CF8" w:rsidRPr="00B06CF8" w14:paraId="5357FF2B" w14:textId="77777777" w:rsidTr="00B06CF8">
        <w:trPr>
          <w:trHeight w:val="315"/>
          <w:jc w:val="center"/>
        </w:trPr>
        <w:tc>
          <w:tcPr>
            <w:tcW w:w="9720"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7161E34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 </w:t>
            </w:r>
          </w:p>
        </w:tc>
      </w:tr>
      <w:tr w:rsidR="00B06CF8" w:rsidRPr="00B06CF8" w14:paraId="7A754AEA" w14:textId="77777777" w:rsidTr="00B06CF8">
        <w:trPr>
          <w:trHeight w:val="315"/>
          <w:jc w:val="center"/>
        </w:trPr>
        <w:tc>
          <w:tcPr>
            <w:tcW w:w="128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1E4E44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CRED</w:t>
            </w:r>
          </w:p>
        </w:tc>
        <w:tc>
          <w:tcPr>
            <w:tcW w:w="1240" w:type="dxa"/>
            <w:tcBorders>
              <w:top w:val="nil"/>
              <w:left w:val="nil"/>
              <w:bottom w:val="single" w:sz="4" w:space="0" w:color="auto"/>
              <w:right w:val="single" w:sz="4" w:space="0" w:color="auto"/>
            </w:tcBorders>
            <w:shd w:val="clear" w:color="auto" w:fill="auto"/>
            <w:noWrap/>
            <w:vAlign w:val="center"/>
            <w:hideMark/>
          </w:tcPr>
          <w:p w14:paraId="7516082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0</w:t>
            </w:r>
          </w:p>
        </w:tc>
        <w:tc>
          <w:tcPr>
            <w:tcW w:w="900" w:type="dxa"/>
            <w:tcBorders>
              <w:top w:val="nil"/>
              <w:left w:val="nil"/>
              <w:bottom w:val="single" w:sz="4" w:space="0" w:color="auto"/>
              <w:right w:val="single" w:sz="4" w:space="0" w:color="auto"/>
            </w:tcBorders>
            <w:shd w:val="clear" w:color="auto" w:fill="auto"/>
            <w:noWrap/>
            <w:vAlign w:val="center"/>
            <w:hideMark/>
          </w:tcPr>
          <w:p w14:paraId="6942A48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3280</w:t>
            </w:r>
          </w:p>
        </w:tc>
        <w:tc>
          <w:tcPr>
            <w:tcW w:w="900" w:type="dxa"/>
            <w:tcBorders>
              <w:top w:val="nil"/>
              <w:left w:val="nil"/>
              <w:bottom w:val="single" w:sz="4" w:space="0" w:color="auto"/>
              <w:right w:val="single" w:sz="4" w:space="0" w:color="auto"/>
            </w:tcBorders>
            <w:shd w:val="clear" w:color="auto" w:fill="auto"/>
            <w:noWrap/>
            <w:vAlign w:val="center"/>
            <w:hideMark/>
          </w:tcPr>
          <w:p w14:paraId="3CAF3825"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3580</w:t>
            </w:r>
          </w:p>
        </w:tc>
        <w:tc>
          <w:tcPr>
            <w:tcW w:w="900" w:type="dxa"/>
            <w:tcBorders>
              <w:top w:val="nil"/>
              <w:left w:val="nil"/>
              <w:bottom w:val="single" w:sz="4" w:space="0" w:color="auto"/>
              <w:right w:val="single" w:sz="4" w:space="0" w:color="auto"/>
            </w:tcBorders>
            <w:shd w:val="clear" w:color="auto" w:fill="auto"/>
            <w:noWrap/>
            <w:vAlign w:val="center"/>
            <w:hideMark/>
          </w:tcPr>
          <w:p w14:paraId="2909C081"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3650</w:t>
            </w:r>
          </w:p>
        </w:tc>
        <w:tc>
          <w:tcPr>
            <w:tcW w:w="900" w:type="dxa"/>
            <w:tcBorders>
              <w:top w:val="nil"/>
              <w:left w:val="nil"/>
              <w:bottom w:val="single" w:sz="4" w:space="0" w:color="auto"/>
              <w:right w:val="single" w:sz="4" w:space="0" w:color="auto"/>
            </w:tcBorders>
            <w:shd w:val="clear" w:color="auto" w:fill="auto"/>
            <w:noWrap/>
            <w:vAlign w:val="center"/>
            <w:hideMark/>
          </w:tcPr>
          <w:p w14:paraId="762ADF4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3780</w:t>
            </w:r>
          </w:p>
        </w:tc>
        <w:tc>
          <w:tcPr>
            <w:tcW w:w="900" w:type="dxa"/>
            <w:tcBorders>
              <w:top w:val="nil"/>
              <w:left w:val="nil"/>
              <w:bottom w:val="single" w:sz="4" w:space="0" w:color="auto"/>
              <w:right w:val="single" w:sz="4" w:space="0" w:color="auto"/>
            </w:tcBorders>
            <w:shd w:val="clear" w:color="auto" w:fill="auto"/>
            <w:noWrap/>
            <w:vAlign w:val="center"/>
            <w:hideMark/>
          </w:tcPr>
          <w:p w14:paraId="65C41BB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3740</w:t>
            </w:r>
          </w:p>
        </w:tc>
        <w:tc>
          <w:tcPr>
            <w:tcW w:w="900" w:type="dxa"/>
            <w:tcBorders>
              <w:top w:val="nil"/>
              <w:left w:val="nil"/>
              <w:bottom w:val="single" w:sz="4" w:space="0" w:color="auto"/>
              <w:right w:val="single" w:sz="4" w:space="0" w:color="auto"/>
            </w:tcBorders>
            <w:shd w:val="clear" w:color="auto" w:fill="auto"/>
            <w:noWrap/>
            <w:vAlign w:val="center"/>
            <w:hideMark/>
          </w:tcPr>
          <w:p w14:paraId="2F67A6B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3730</w:t>
            </w:r>
          </w:p>
        </w:tc>
        <w:tc>
          <w:tcPr>
            <w:tcW w:w="900" w:type="dxa"/>
            <w:tcBorders>
              <w:top w:val="nil"/>
              <w:left w:val="nil"/>
              <w:bottom w:val="single" w:sz="4" w:space="0" w:color="auto"/>
              <w:right w:val="single" w:sz="4" w:space="0" w:color="auto"/>
            </w:tcBorders>
            <w:shd w:val="clear" w:color="auto" w:fill="auto"/>
            <w:noWrap/>
            <w:vAlign w:val="center"/>
            <w:hideMark/>
          </w:tcPr>
          <w:p w14:paraId="3673FB59"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3627</w:t>
            </w:r>
          </w:p>
        </w:tc>
        <w:tc>
          <w:tcPr>
            <w:tcW w:w="900" w:type="dxa"/>
            <w:tcBorders>
              <w:top w:val="nil"/>
              <w:left w:val="nil"/>
              <w:bottom w:val="single" w:sz="4" w:space="0" w:color="auto"/>
              <w:right w:val="single" w:sz="12" w:space="0" w:color="auto"/>
            </w:tcBorders>
            <w:shd w:val="clear" w:color="auto" w:fill="auto"/>
            <w:noWrap/>
            <w:vAlign w:val="center"/>
            <w:hideMark/>
          </w:tcPr>
          <w:p w14:paraId="1A7E4DA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500</w:t>
            </w:r>
          </w:p>
        </w:tc>
      </w:tr>
      <w:tr w:rsidR="00B06CF8" w:rsidRPr="00B06CF8" w14:paraId="0AF7691A"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00C7F802"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1282281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auto" w:fill="auto"/>
            <w:noWrap/>
            <w:vAlign w:val="center"/>
            <w:hideMark/>
          </w:tcPr>
          <w:p w14:paraId="2648B92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3710</w:t>
            </w:r>
          </w:p>
        </w:tc>
        <w:tc>
          <w:tcPr>
            <w:tcW w:w="900" w:type="dxa"/>
            <w:tcBorders>
              <w:top w:val="nil"/>
              <w:left w:val="nil"/>
              <w:bottom w:val="single" w:sz="4" w:space="0" w:color="auto"/>
              <w:right w:val="single" w:sz="4" w:space="0" w:color="auto"/>
            </w:tcBorders>
            <w:shd w:val="clear" w:color="auto" w:fill="auto"/>
            <w:noWrap/>
            <w:vAlign w:val="center"/>
            <w:hideMark/>
          </w:tcPr>
          <w:p w14:paraId="4EF3AE06"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3830</w:t>
            </w:r>
          </w:p>
        </w:tc>
        <w:tc>
          <w:tcPr>
            <w:tcW w:w="900" w:type="dxa"/>
            <w:tcBorders>
              <w:top w:val="nil"/>
              <w:left w:val="nil"/>
              <w:bottom w:val="single" w:sz="4" w:space="0" w:color="auto"/>
              <w:right w:val="single" w:sz="4" w:space="0" w:color="auto"/>
            </w:tcBorders>
            <w:shd w:val="clear" w:color="auto" w:fill="auto"/>
            <w:noWrap/>
            <w:vAlign w:val="center"/>
            <w:hideMark/>
          </w:tcPr>
          <w:p w14:paraId="7567FBB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4040</w:t>
            </w:r>
          </w:p>
        </w:tc>
        <w:tc>
          <w:tcPr>
            <w:tcW w:w="900" w:type="dxa"/>
            <w:tcBorders>
              <w:top w:val="nil"/>
              <w:left w:val="nil"/>
              <w:bottom w:val="single" w:sz="4" w:space="0" w:color="auto"/>
              <w:right w:val="single" w:sz="4" w:space="0" w:color="auto"/>
            </w:tcBorders>
            <w:shd w:val="clear" w:color="auto" w:fill="auto"/>
            <w:noWrap/>
            <w:vAlign w:val="center"/>
            <w:hideMark/>
          </w:tcPr>
          <w:p w14:paraId="3131D58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3920</w:t>
            </w:r>
          </w:p>
        </w:tc>
        <w:tc>
          <w:tcPr>
            <w:tcW w:w="900" w:type="dxa"/>
            <w:tcBorders>
              <w:top w:val="nil"/>
              <w:left w:val="nil"/>
              <w:bottom w:val="single" w:sz="4" w:space="0" w:color="auto"/>
              <w:right w:val="single" w:sz="4" w:space="0" w:color="auto"/>
            </w:tcBorders>
            <w:shd w:val="clear" w:color="auto" w:fill="auto"/>
            <w:noWrap/>
            <w:vAlign w:val="center"/>
            <w:hideMark/>
          </w:tcPr>
          <w:p w14:paraId="5FDA9C80"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3980</w:t>
            </w:r>
          </w:p>
        </w:tc>
        <w:tc>
          <w:tcPr>
            <w:tcW w:w="900" w:type="dxa"/>
            <w:tcBorders>
              <w:top w:val="nil"/>
              <w:left w:val="nil"/>
              <w:bottom w:val="single" w:sz="4" w:space="0" w:color="auto"/>
              <w:right w:val="single" w:sz="4" w:space="0" w:color="auto"/>
            </w:tcBorders>
            <w:shd w:val="clear" w:color="auto" w:fill="auto"/>
            <w:noWrap/>
            <w:vAlign w:val="center"/>
            <w:hideMark/>
          </w:tcPr>
          <w:p w14:paraId="60B2B44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4140</w:t>
            </w:r>
          </w:p>
        </w:tc>
        <w:tc>
          <w:tcPr>
            <w:tcW w:w="900" w:type="dxa"/>
            <w:tcBorders>
              <w:top w:val="nil"/>
              <w:left w:val="nil"/>
              <w:bottom w:val="single" w:sz="4" w:space="0" w:color="auto"/>
              <w:right w:val="single" w:sz="4" w:space="0" w:color="auto"/>
            </w:tcBorders>
            <w:shd w:val="clear" w:color="auto" w:fill="auto"/>
            <w:noWrap/>
            <w:vAlign w:val="center"/>
            <w:hideMark/>
          </w:tcPr>
          <w:p w14:paraId="42BA5F6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3937</w:t>
            </w:r>
          </w:p>
        </w:tc>
        <w:tc>
          <w:tcPr>
            <w:tcW w:w="900" w:type="dxa"/>
            <w:tcBorders>
              <w:top w:val="nil"/>
              <w:left w:val="nil"/>
              <w:bottom w:val="single" w:sz="4" w:space="0" w:color="auto"/>
              <w:right w:val="single" w:sz="12" w:space="0" w:color="auto"/>
            </w:tcBorders>
            <w:shd w:val="clear" w:color="auto" w:fill="auto"/>
            <w:noWrap/>
            <w:vAlign w:val="center"/>
            <w:hideMark/>
          </w:tcPr>
          <w:p w14:paraId="02EAF64C"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430</w:t>
            </w:r>
          </w:p>
        </w:tc>
      </w:tr>
      <w:tr w:rsidR="00B06CF8" w:rsidRPr="00B06CF8" w14:paraId="619A726E" w14:textId="77777777" w:rsidTr="00B06CF8">
        <w:trPr>
          <w:trHeight w:val="315"/>
          <w:jc w:val="center"/>
        </w:trPr>
        <w:tc>
          <w:tcPr>
            <w:tcW w:w="1280" w:type="dxa"/>
            <w:vMerge/>
            <w:tcBorders>
              <w:top w:val="nil"/>
              <w:left w:val="single" w:sz="12" w:space="0" w:color="auto"/>
              <w:bottom w:val="single" w:sz="4" w:space="0" w:color="auto"/>
              <w:right w:val="single" w:sz="4" w:space="0" w:color="auto"/>
            </w:tcBorders>
            <w:vAlign w:val="center"/>
            <w:hideMark/>
          </w:tcPr>
          <w:p w14:paraId="5087B35C"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4" w:space="0" w:color="auto"/>
              <w:right w:val="single" w:sz="4" w:space="0" w:color="auto"/>
            </w:tcBorders>
            <w:shd w:val="clear" w:color="auto" w:fill="auto"/>
            <w:noWrap/>
            <w:vAlign w:val="center"/>
            <w:hideMark/>
          </w:tcPr>
          <w:p w14:paraId="00F8A1A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7</w:t>
            </w:r>
          </w:p>
        </w:tc>
        <w:tc>
          <w:tcPr>
            <w:tcW w:w="900" w:type="dxa"/>
            <w:tcBorders>
              <w:top w:val="nil"/>
              <w:left w:val="nil"/>
              <w:bottom w:val="single" w:sz="4" w:space="0" w:color="auto"/>
              <w:right w:val="single" w:sz="4" w:space="0" w:color="auto"/>
            </w:tcBorders>
            <w:shd w:val="clear" w:color="auto" w:fill="auto"/>
            <w:noWrap/>
            <w:vAlign w:val="center"/>
            <w:hideMark/>
          </w:tcPr>
          <w:p w14:paraId="5D5DB0D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4100</w:t>
            </w:r>
          </w:p>
        </w:tc>
        <w:tc>
          <w:tcPr>
            <w:tcW w:w="900" w:type="dxa"/>
            <w:tcBorders>
              <w:top w:val="nil"/>
              <w:left w:val="nil"/>
              <w:bottom w:val="single" w:sz="4" w:space="0" w:color="auto"/>
              <w:right w:val="single" w:sz="4" w:space="0" w:color="auto"/>
            </w:tcBorders>
            <w:shd w:val="clear" w:color="auto" w:fill="auto"/>
            <w:noWrap/>
            <w:vAlign w:val="center"/>
            <w:hideMark/>
          </w:tcPr>
          <w:p w14:paraId="6E573FD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4350</w:t>
            </w:r>
          </w:p>
        </w:tc>
        <w:tc>
          <w:tcPr>
            <w:tcW w:w="900" w:type="dxa"/>
            <w:tcBorders>
              <w:top w:val="nil"/>
              <w:left w:val="nil"/>
              <w:bottom w:val="single" w:sz="4" w:space="0" w:color="auto"/>
              <w:right w:val="single" w:sz="4" w:space="0" w:color="auto"/>
            </w:tcBorders>
            <w:shd w:val="clear" w:color="auto" w:fill="auto"/>
            <w:noWrap/>
            <w:vAlign w:val="center"/>
            <w:hideMark/>
          </w:tcPr>
          <w:p w14:paraId="2439F95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4380</w:t>
            </w:r>
          </w:p>
        </w:tc>
        <w:tc>
          <w:tcPr>
            <w:tcW w:w="900" w:type="dxa"/>
            <w:tcBorders>
              <w:top w:val="nil"/>
              <w:left w:val="nil"/>
              <w:bottom w:val="single" w:sz="4" w:space="0" w:color="auto"/>
              <w:right w:val="single" w:sz="4" w:space="0" w:color="auto"/>
            </w:tcBorders>
            <w:shd w:val="clear" w:color="auto" w:fill="auto"/>
            <w:noWrap/>
            <w:vAlign w:val="center"/>
            <w:hideMark/>
          </w:tcPr>
          <w:p w14:paraId="5F1E9854"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4370</w:t>
            </w:r>
          </w:p>
        </w:tc>
        <w:tc>
          <w:tcPr>
            <w:tcW w:w="900" w:type="dxa"/>
            <w:tcBorders>
              <w:top w:val="nil"/>
              <w:left w:val="nil"/>
              <w:bottom w:val="single" w:sz="4" w:space="0" w:color="auto"/>
              <w:right w:val="single" w:sz="4" w:space="0" w:color="auto"/>
            </w:tcBorders>
            <w:shd w:val="clear" w:color="auto" w:fill="auto"/>
            <w:noWrap/>
            <w:vAlign w:val="center"/>
            <w:hideMark/>
          </w:tcPr>
          <w:p w14:paraId="33C6AAAE"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4300</w:t>
            </w:r>
          </w:p>
        </w:tc>
        <w:tc>
          <w:tcPr>
            <w:tcW w:w="900" w:type="dxa"/>
            <w:tcBorders>
              <w:top w:val="nil"/>
              <w:left w:val="nil"/>
              <w:bottom w:val="single" w:sz="4" w:space="0" w:color="auto"/>
              <w:right w:val="single" w:sz="4" w:space="0" w:color="auto"/>
            </w:tcBorders>
            <w:shd w:val="clear" w:color="auto" w:fill="auto"/>
            <w:noWrap/>
            <w:vAlign w:val="center"/>
            <w:hideMark/>
          </w:tcPr>
          <w:p w14:paraId="678E98B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4410</w:t>
            </w:r>
          </w:p>
        </w:tc>
        <w:tc>
          <w:tcPr>
            <w:tcW w:w="900" w:type="dxa"/>
            <w:tcBorders>
              <w:top w:val="nil"/>
              <w:left w:val="nil"/>
              <w:bottom w:val="single" w:sz="4" w:space="0" w:color="auto"/>
              <w:right w:val="single" w:sz="4" w:space="0" w:color="auto"/>
            </w:tcBorders>
            <w:shd w:val="clear" w:color="auto" w:fill="auto"/>
            <w:noWrap/>
            <w:vAlign w:val="center"/>
            <w:hideMark/>
          </w:tcPr>
          <w:p w14:paraId="6485BDEF"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4318</w:t>
            </w:r>
          </w:p>
        </w:tc>
        <w:tc>
          <w:tcPr>
            <w:tcW w:w="900" w:type="dxa"/>
            <w:tcBorders>
              <w:top w:val="nil"/>
              <w:left w:val="nil"/>
              <w:bottom w:val="single" w:sz="4" w:space="0" w:color="auto"/>
              <w:right w:val="single" w:sz="12" w:space="0" w:color="auto"/>
            </w:tcBorders>
            <w:shd w:val="clear" w:color="auto" w:fill="auto"/>
            <w:noWrap/>
            <w:vAlign w:val="center"/>
            <w:hideMark/>
          </w:tcPr>
          <w:p w14:paraId="79D453A9"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310</w:t>
            </w:r>
          </w:p>
        </w:tc>
      </w:tr>
      <w:tr w:rsidR="00B06CF8" w:rsidRPr="00B06CF8" w14:paraId="1369F47E" w14:textId="77777777" w:rsidTr="00B03F86">
        <w:trPr>
          <w:trHeight w:val="315"/>
          <w:jc w:val="center"/>
        </w:trPr>
        <w:tc>
          <w:tcPr>
            <w:tcW w:w="1280" w:type="dxa"/>
            <w:vMerge/>
            <w:tcBorders>
              <w:top w:val="nil"/>
              <w:left w:val="single" w:sz="12" w:space="0" w:color="auto"/>
              <w:bottom w:val="single" w:sz="12" w:space="0" w:color="auto"/>
              <w:right w:val="single" w:sz="4" w:space="0" w:color="auto"/>
            </w:tcBorders>
            <w:vAlign w:val="center"/>
            <w:hideMark/>
          </w:tcPr>
          <w:p w14:paraId="7D24BF7F" w14:textId="77777777" w:rsidR="00B06CF8" w:rsidRPr="00B06CF8" w:rsidRDefault="00B06CF8" w:rsidP="00B06CF8">
            <w:pPr>
              <w:contextualSpacing w:val="0"/>
              <w:rPr>
                <w:rFonts w:eastAsia="Times New Roman" w:cs="Times New Roman"/>
                <w:color w:val="000000"/>
                <w:szCs w:val="24"/>
              </w:rPr>
            </w:pPr>
          </w:p>
        </w:tc>
        <w:tc>
          <w:tcPr>
            <w:tcW w:w="1240" w:type="dxa"/>
            <w:tcBorders>
              <w:top w:val="nil"/>
              <w:left w:val="nil"/>
              <w:bottom w:val="single" w:sz="12" w:space="0" w:color="auto"/>
              <w:right w:val="single" w:sz="4" w:space="0" w:color="auto"/>
            </w:tcBorders>
            <w:shd w:val="clear" w:color="auto" w:fill="auto"/>
            <w:noWrap/>
            <w:vAlign w:val="center"/>
            <w:hideMark/>
          </w:tcPr>
          <w:p w14:paraId="05D36DAA"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14</w:t>
            </w:r>
          </w:p>
        </w:tc>
        <w:tc>
          <w:tcPr>
            <w:tcW w:w="900" w:type="dxa"/>
            <w:tcBorders>
              <w:top w:val="nil"/>
              <w:left w:val="nil"/>
              <w:bottom w:val="single" w:sz="12" w:space="0" w:color="auto"/>
              <w:right w:val="single" w:sz="4" w:space="0" w:color="auto"/>
            </w:tcBorders>
            <w:shd w:val="clear" w:color="auto" w:fill="auto"/>
            <w:noWrap/>
            <w:vAlign w:val="center"/>
            <w:hideMark/>
          </w:tcPr>
          <w:p w14:paraId="1B22D66C"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4250</w:t>
            </w:r>
          </w:p>
        </w:tc>
        <w:tc>
          <w:tcPr>
            <w:tcW w:w="900" w:type="dxa"/>
            <w:tcBorders>
              <w:top w:val="nil"/>
              <w:left w:val="nil"/>
              <w:bottom w:val="single" w:sz="12" w:space="0" w:color="auto"/>
              <w:right w:val="single" w:sz="4" w:space="0" w:color="auto"/>
            </w:tcBorders>
            <w:shd w:val="clear" w:color="auto" w:fill="auto"/>
            <w:noWrap/>
            <w:vAlign w:val="center"/>
            <w:hideMark/>
          </w:tcPr>
          <w:p w14:paraId="2288A189"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4340</w:t>
            </w:r>
          </w:p>
        </w:tc>
        <w:tc>
          <w:tcPr>
            <w:tcW w:w="900" w:type="dxa"/>
            <w:tcBorders>
              <w:top w:val="nil"/>
              <w:left w:val="nil"/>
              <w:bottom w:val="single" w:sz="12" w:space="0" w:color="auto"/>
              <w:right w:val="single" w:sz="4" w:space="0" w:color="auto"/>
            </w:tcBorders>
            <w:shd w:val="clear" w:color="auto" w:fill="auto"/>
            <w:noWrap/>
            <w:vAlign w:val="center"/>
            <w:hideMark/>
          </w:tcPr>
          <w:p w14:paraId="6EA9D65D"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4470</w:t>
            </w:r>
          </w:p>
        </w:tc>
        <w:tc>
          <w:tcPr>
            <w:tcW w:w="900" w:type="dxa"/>
            <w:tcBorders>
              <w:top w:val="nil"/>
              <w:left w:val="nil"/>
              <w:bottom w:val="single" w:sz="12" w:space="0" w:color="auto"/>
              <w:right w:val="single" w:sz="4" w:space="0" w:color="auto"/>
            </w:tcBorders>
            <w:shd w:val="clear" w:color="auto" w:fill="auto"/>
            <w:noWrap/>
            <w:vAlign w:val="center"/>
            <w:hideMark/>
          </w:tcPr>
          <w:p w14:paraId="0491A693"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4550</w:t>
            </w:r>
          </w:p>
        </w:tc>
        <w:tc>
          <w:tcPr>
            <w:tcW w:w="900" w:type="dxa"/>
            <w:tcBorders>
              <w:top w:val="nil"/>
              <w:left w:val="nil"/>
              <w:bottom w:val="single" w:sz="12" w:space="0" w:color="auto"/>
              <w:right w:val="single" w:sz="4" w:space="0" w:color="auto"/>
            </w:tcBorders>
            <w:shd w:val="clear" w:color="auto" w:fill="auto"/>
            <w:noWrap/>
            <w:vAlign w:val="center"/>
            <w:hideMark/>
          </w:tcPr>
          <w:p w14:paraId="62B00162"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4420</w:t>
            </w:r>
          </w:p>
        </w:tc>
        <w:tc>
          <w:tcPr>
            <w:tcW w:w="900" w:type="dxa"/>
            <w:tcBorders>
              <w:top w:val="nil"/>
              <w:left w:val="nil"/>
              <w:bottom w:val="single" w:sz="12" w:space="0" w:color="auto"/>
              <w:right w:val="single" w:sz="4" w:space="0" w:color="auto"/>
            </w:tcBorders>
            <w:shd w:val="clear" w:color="auto" w:fill="auto"/>
            <w:noWrap/>
            <w:vAlign w:val="center"/>
            <w:hideMark/>
          </w:tcPr>
          <w:p w14:paraId="1531FE5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4710</w:t>
            </w:r>
          </w:p>
        </w:tc>
        <w:tc>
          <w:tcPr>
            <w:tcW w:w="900" w:type="dxa"/>
            <w:tcBorders>
              <w:top w:val="nil"/>
              <w:left w:val="nil"/>
              <w:bottom w:val="single" w:sz="12" w:space="0" w:color="auto"/>
              <w:right w:val="single" w:sz="4" w:space="0" w:color="auto"/>
            </w:tcBorders>
            <w:shd w:val="clear" w:color="auto" w:fill="auto"/>
            <w:noWrap/>
            <w:vAlign w:val="center"/>
            <w:hideMark/>
          </w:tcPr>
          <w:p w14:paraId="39F74578"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4457</w:t>
            </w:r>
          </w:p>
        </w:tc>
        <w:tc>
          <w:tcPr>
            <w:tcW w:w="900" w:type="dxa"/>
            <w:tcBorders>
              <w:top w:val="nil"/>
              <w:left w:val="nil"/>
              <w:bottom w:val="single" w:sz="12" w:space="0" w:color="auto"/>
              <w:right w:val="single" w:sz="12" w:space="0" w:color="auto"/>
            </w:tcBorders>
            <w:shd w:val="clear" w:color="auto" w:fill="auto"/>
            <w:noWrap/>
            <w:vAlign w:val="center"/>
            <w:hideMark/>
          </w:tcPr>
          <w:p w14:paraId="5E30DBB7" w14:textId="77777777" w:rsidR="00B06CF8" w:rsidRPr="00B06CF8" w:rsidRDefault="00B06CF8" w:rsidP="00B06CF8">
            <w:pPr>
              <w:contextualSpacing w:val="0"/>
              <w:jc w:val="center"/>
              <w:rPr>
                <w:rFonts w:eastAsia="Times New Roman" w:cs="Times New Roman"/>
                <w:color w:val="000000"/>
                <w:szCs w:val="24"/>
              </w:rPr>
            </w:pPr>
            <w:r w:rsidRPr="00B06CF8">
              <w:rPr>
                <w:rFonts w:eastAsia="Times New Roman" w:cs="Times New Roman"/>
                <w:color w:val="000000"/>
                <w:szCs w:val="24"/>
              </w:rPr>
              <w:t>460</w:t>
            </w:r>
          </w:p>
        </w:tc>
      </w:tr>
    </w:tbl>
    <w:p w14:paraId="5F3F97D3" w14:textId="64838386" w:rsidR="00B06CF8" w:rsidRDefault="00B06CF8" w:rsidP="00D61393">
      <w:pPr>
        <w:jc w:val="center"/>
      </w:pPr>
    </w:p>
    <w:p w14:paraId="2459A5E4" w14:textId="02BB0AFA" w:rsidR="00346E7C" w:rsidRDefault="00346E7C" w:rsidP="00D61393">
      <w:pPr>
        <w:jc w:val="center"/>
      </w:pPr>
      <w:r w:rsidRPr="00346E7C">
        <w:rPr>
          <w:b/>
        </w:rPr>
        <w:t>Table 5.</w:t>
      </w:r>
      <w:r>
        <w:t xml:space="preserve"> </w:t>
      </w:r>
      <w:r w:rsidR="00D11BFA">
        <w:t xml:space="preserve">28-day </w:t>
      </w:r>
      <w:r>
        <w:t>Splitting Tensile Strength Results, psi</w:t>
      </w:r>
    </w:p>
    <w:p w14:paraId="342B1DDA" w14:textId="75250E8E" w:rsidR="00346E7C" w:rsidRDefault="00346E7C" w:rsidP="00D61393">
      <w:pPr>
        <w:jc w:val="center"/>
      </w:pPr>
    </w:p>
    <w:tbl>
      <w:tblPr>
        <w:tblW w:w="9683" w:type="dxa"/>
        <w:jc w:val="center"/>
        <w:tblLook w:val="04A0" w:firstRow="1" w:lastRow="0" w:firstColumn="1" w:lastColumn="0" w:noHBand="0" w:noVBand="1"/>
      </w:tblPr>
      <w:tblGrid>
        <w:gridCol w:w="1403"/>
        <w:gridCol w:w="1112"/>
        <w:gridCol w:w="868"/>
        <w:gridCol w:w="900"/>
        <w:gridCol w:w="900"/>
        <w:gridCol w:w="900"/>
        <w:gridCol w:w="900"/>
        <w:gridCol w:w="900"/>
        <w:gridCol w:w="900"/>
        <w:gridCol w:w="900"/>
      </w:tblGrid>
      <w:tr w:rsidR="00346E7C" w:rsidRPr="00346E7C" w14:paraId="6AB03BB7" w14:textId="77777777" w:rsidTr="00346E7C">
        <w:trPr>
          <w:trHeight w:val="458"/>
          <w:jc w:val="center"/>
        </w:trPr>
        <w:tc>
          <w:tcPr>
            <w:tcW w:w="1403"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7C42D0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Mixture</w:t>
            </w:r>
          </w:p>
        </w:tc>
        <w:tc>
          <w:tcPr>
            <w:tcW w:w="111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C005E1B"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Curing Age (days)</w:t>
            </w:r>
          </w:p>
        </w:tc>
        <w:tc>
          <w:tcPr>
            <w:tcW w:w="86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526EF4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1</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1B541F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2</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1B17BA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3</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0E168FF"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4</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285C25F"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5</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07E982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Batch 6</w:t>
            </w:r>
          </w:p>
        </w:tc>
        <w:tc>
          <w:tcPr>
            <w:tcW w:w="90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39F9C6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Mean</w:t>
            </w:r>
          </w:p>
        </w:tc>
        <w:tc>
          <w:tcPr>
            <w:tcW w:w="90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D3F266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Range</w:t>
            </w:r>
          </w:p>
        </w:tc>
      </w:tr>
      <w:tr w:rsidR="00346E7C" w:rsidRPr="00346E7C" w14:paraId="1CEC62B4" w14:textId="77777777" w:rsidTr="00346E7C">
        <w:trPr>
          <w:trHeight w:val="458"/>
          <w:jc w:val="center"/>
        </w:trPr>
        <w:tc>
          <w:tcPr>
            <w:tcW w:w="1403" w:type="dxa"/>
            <w:vMerge/>
            <w:tcBorders>
              <w:top w:val="single" w:sz="4" w:space="0" w:color="auto"/>
              <w:left w:val="single" w:sz="12" w:space="0" w:color="auto"/>
              <w:bottom w:val="single" w:sz="4" w:space="0" w:color="auto"/>
              <w:right w:val="single" w:sz="4" w:space="0" w:color="auto"/>
            </w:tcBorders>
            <w:vAlign w:val="center"/>
            <w:hideMark/>
          </w:tcPr>
          <w:p w14:paraId="05EFCB94" w14:textId="77777777" w:rsidR="00346E7C" w:rsidRPr="00346E7C" w:rsidRDefault="00346E7C" w:rsidP="00346E7C">
            <w:pPr>
              <w:contextualSpacing w:val="0"/>
              <w:rPr>
                <w:rFonts w:eastAsia="Times New Roman" w:cs="Times New Roman"/>
                <w:color w:val="00000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B61960D" w14:textId="77777777" w:rsidR="00346E7C" w:rsidRPr="00346E7C" w:rsidRDefault="00346E7C" w:rsidP="00346E7C">
            <w:pPr>
              <w:contextualSpacing w:val="0"/>
              <w:rPr>
                <w:rFonts w:eastAsia="Times New Roman" w:cs="Times New Roman"/>
                <w:color w:val="000000"/>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49C64DC9"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7A2E26C"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ED5313D"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3CEA921"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A3B4B20"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FBDF972"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61756B1" w14:textId="77777777" w:rsidR="00346E7C" w:rsidRPr="00346E7C" w:rsidRDefault="00346E7C" w:rsidP="00346E7C">
            <w:pPr>
              <w:contextualSpacing w:val="0"/>
              <w:rPr>
                <w:rFonts w:eastAsia="Times New Roman" w:cs="Times New Roman"/>
                <w:color w:val="000000"/>
                <w:szCs w:val="24"/>
              </w:rPr>
            </w:pPr>
          </w:p>
        </w:tc>
        <w:tc>
          <w:tcPr>
            <w:tcW w:w="900" w:type="dxa"/>
            <w:vMerge/>
            <w:tcBorders>
              <w:top w:val="single" w:sz="4" w:space="0" w:color="auto"/>
              <w:left w:val="single" w:sz="4" w:space="0" w:color="auto"/>
              <w:bottom w:val="single" w:sz="4" w:space="0" w:color="auto"/>
              <w:right w:val="single" w:sz="12" w:space="0" w:color="auto"/>
            </w:tcBorders>
            <w:vAlign w:val="center"/>
            <w:hideMark/>
          </w:tcPr>
          <w:p w14:paraId="68659AB1" w14:textId="77777777" w:rsidR="00346E7C" w:rsidRPr="00346E7C" w:rsidRDefault="00346E7C" w:rsidP="00346E7C">
            <w:pPr>
              <w:contextualSpacing w:val="0"/>
              <w:rPr>
                <w:rFonts w:eastAsia="Times New Roman" w:cs="Times New Roman"/>
                <w:color w:val="000000"/>
                <w:szCs w:val="24"/>
              </w:rPr>
            </w:pPr>
          </w:p>
        </w:tc>
      </w:tr>
      <w:tr w:rsidR="00346E7C" w:rsidRPr="00346E7C" w14:paraId="12EA718B" w14:textId="77777777" w:rsidTr="00346E7C">
        <w:trPr>
          <w:trHeight w:val="315"/>
          <w:jc w:val="center"/>
        </w:trPr>
        <w:tc>
          <w:tcPr>
            <w:tcW w:w="1403" w:type="dxa"/>
            <w:vMerge w:val="restart"/>
            <w:tcBorders>
              <w:top w:val="nil"/>
              <w:left w:val="single" w:sz="12" w:space="0" w:color="auto"/>
              <w:bottom w:val="single" w:sz="4" w:space="0" w:color="auto"/>
              <w:right w:val="single" w:sz="4" w:space="0" w:color="auto"/>
            </w:tcBorders>
            <w:shd w:val="clear" w:color="auto" w:fill="auto"/>
            <w:vAlign w:val="center"/>
            <w:hideMark/>
          </w:tcPr>
          <w:p w14:paraId="3393442C"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Commercial 3500</w:t>
            </w:r>
          </w:p>
        </w:tc>
        <w:tc>
          <w:tcPr>
            <w:tcW w:w="1112" w:type="dxa"/>
            <w:tcBorders>
              <w:top w:val="nil"/>
              <w:left w:val="nil"/>
              <w:bottom w:val="single" w:sz="4" w:space="0" w:color="auto"/>
              <w:right w:val="single" w:sz="4" w:space="0" w:color="auto"/>
            </w:tcBorders>
            <w:shd w:val="clear" w:color="auto" w:fill="auto"/>
            <w:noWrap/>
            <w:vAlign w:val="center"/>
            <w:hideMark/>
          </w:tcPr>
          <w:p w14:paraId="33AB08F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0</w:t>
            </w:r>
          </w:p>
        </w:tc>
        <w:tc>
          <w:tcPr>
            <w:tcW w:w="868" w:type="dxa"/>
            <w:tcBorders>
              <w:top w:val="nil"/>
              <w:left w:val="nil"/>
              <w:bottom w:val="single" w:sz="4" w:space="0" w:color="auto"/>
              <w:right w:val="single" w:sz="4" w:space="0" w:color="auto"/>
            </w:tcBorders>
            <w:shd w:val="clear" w:color="auto" w:fill="auto"/>
            <w:noWrap/>
            <w:vAlign w:val="center"/>
            <w:hideMark/>
          </w:tcPr>
          <w:p w14:paraId="4384331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235</w:t>
            </w:r>
          </w:p>
        </w:tc>
        <w:tc>
          <w:tcPr>
            <w:tcW w:w="900" w:type="dxa"/>
            <w:tcBorders>
              <w:top w:val="nil"/>
              <w:left w:val="nil"/>
              <w:bottom w:val="single" w:sz="4" w:space="0" w:color="auto"/>
              <w:right w:val="single" w:sz="4" w:space="0" w:color="auto"/>
            </w:tcBorders>
            <w:shd w:val="clear" w:color="auto" w:fill="auto"/>
            <w:noWrap/>
            <w:vAlign w:val="center"/>
            <w:hideMark/>
          </w:tcPr>
          <w:p w14:paraId="41A9C6A3"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220</w:t>
            </w:r>
          </w:p>
        </w:tc>
        <w:tc>
          <w:tcPr>
            <w:tcW w:w="900" w:type="dxa"/>
            <w:tcBorders>
              <w:top w:val="nil"/>
              <w:left w:val="nil"/>
              <w:bottom w:val="single" w:sz="4" w:space="0" w:color="auto"/>
              <w:right w:val="single" w:sz="4" w:space="0" w:color="auto"/>
            </w:tcBorders>
            <w:shd w:val="clear" w:color="auto" w:fill="auto"/>
            <w:noWrap/>
            <w:vAlign w:val="center"/>
            <w:hideMark/>
          </w:tcPr>
          <w:p w14:paraId="293632A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235</w:t>
            </w:r>
          </w:p>
        </w:tc>
        <w:tc>
          <w:tcPr>
            <w:tcW w:w="900" w:type="dxa"/>
            <w:tcBorders>
              <w:top w:val="nil"/>
              <w:left w:val="nil"/>
              <w:bottom w:val="single" w:sz="4" w:space="0" w:color="auto"/>
              <w:right w:val="single" w:sz="4" w:space="0" w:color="auto"/>
            </w:tcBorders>
            <w:shd w:val="clear" w:color="auto" w:fill="auto"/>
            <w:noWrap/>
            <w:vAlign w:val="center"/>
            <w:hideMark/>
          </w:tcPr>
          <w:p w14:paraId="1F422FE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215</w:t>
            </w:r>
          </w:p>
        </w:tc>
        <w:tc>
          <w:tcPr>
            <w:tcW w:w="900" w:type="dxa"/>
            <w:tcBorders>
              <w:top w:val="nil"/>
              <w:left w:val="nil"/>
              <w:bottom w:val="single" w:sz="4" w:space="0" w:color="auto"/>
              <w:right w:val="single" w:sz="4" w:space="0" w:color="auto"/>
            </w:tcBorders>
            <w:shd w:val="clear" w:color="auto" w:fill="auto"/>
            <w:noWrap/>
            <w:vAlign w:val="center"/>
            <w:hideMark/>
          </w:tcPr>
          <w:p w14:paraId="49344E5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255</w:t>
            </w:r>
          </w:p>
        </w:tc>
        <w:tc>
          <w:tcPr>
            <w:tcW w:w="900" w:type="dxa"/>
            <w:tcBorders>
              <w:top w:val="nil"/>
              <w:left w:val="nil"/>
              <w:bottom w:val="single" w:sz="4" w:space="0" w:color="auto"/>
              <w:right w:val="single" w:sz="4" w:space="0" w:color="auto"/>
            </w:tcBorders>
            <w:shd w:val="clear" w:color="auto" w:fill="auto"/>
            <w:noWrap/>
            <w:vAlign w:val="center"/>
            <w:hideMark/>
          </w:tcPr>
          <w:p w14:paraId="76AF2E6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215</w:t>
            </w:r>
          </w:p>
        </w:tc>
        <w:tc>
          <w:tcPr>
            <w:tcW w:w="900" w:type="dxa"/>
            <w:tcBorders>
              <w:top w:val="nil"/>
              <w:left w:val="nil"/>
              <w:bottom w:val="single" w:sz="4" w:space="0" w:color="auto"/>
              <w:right w:val="single" w:sz="4" w:space="0" w:color="auto"/>
            </w:tcBorders>
            <w:shd w:val="clear" w:color="auto" w:fill="auto"/>
            <w:noWrap/>
            <w:vAlign w:val="center"/>
            <w:hideMark/>
          </w:tcPr>
          <w:p w14:paraId="3993555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229</w:t>
            </w:r>
          </w:p>
        </w:tc>
        <w:tc>
          <w:tcPr>
            <w:tcW w:w="900" w:type="dxa"/>
            <w:tcBorders>
              <w:top w:val="nil"/>
              <w:left w:val="nil"/>
              <w:bottom w:val="single" w:sz="4" w:space="0" w:color="auto"/>
              <w:right w:val="single" w:sz="12" w:space="0" w:color="auto"/>
            </w:tcBorders>
            <w:shd w:val="clear" w:color="auto" w:fill="auto"/>
            <w:noWrap/>
            <w:vAlign w:val="center"/>
            <w:hideMark/>
          </w:tcPr>
          <w:p w14:paraId="643CFE0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40</w:t>
            </w:r>
          </w:p>
        </w:tc>
      </w:tr>
      <w:tr w:rsidR="00346E7C" w:rsidRPr="00346E7C" w14:paraId="34D7535B"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4712A5E8"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317388E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w:t>
            </w:r>
          </w:p>
        </w:tc>
        <w:tc>
          <w:tcPr>
            <w:tcW w:w="868" w:type="dxa"/>
            <w:tcBorders>
              <w:top w:val="nil"/>
              <w:left w:val="nil"/>
              <w:bottom w:val="single" w:sz="4" w:space="0" w:color="auto"/>
              <w:right w:val="single" w:sz="4" w:space="0" w:color="auto"/>
            </w:tcBorders>
            <w:shd w:val="clear" w:color="auto" w:fill="auto"/>
            <w:noWrap/>
            <w:vAlign w:val="center"/>
            <w:hideMark/>
          </w:tcPr>
          <w:p w14:paraId="3857D4AB"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290</w:t>
            </w:r>
          </w:p>
        </w:tc>
        <w:tc>
          <w:tcPr>
            <w:tcW w:w="900" w:type="dxa"/>
            <w:tcBorders>
              <w:top w:val="nil"/>
              <w:left w:val="nil"/>
              <w:bottom w:val="single" w:sz="4" w:space="0" w:color="auto"/>
              <w:right w:val="single" w:sz="4" w:space="0" w:color="auto"/>
            </w:tcBorders>
            <w:shd w:val="clear" w:color="auto" w:fill="auto"/>
            <w:noWrap/>
            <w:vAlign w:val="center"/>
            <w:hideMark/>
          </w:tcPr>
          <w:p w14:paraId="1C867A4B"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290</w:t>
            </w:r>
          </w:p>
        </w:tc>
        <w:tc>
          <w:tcPr>
            <w:tcW w:w="900" w:type="dxa"/>
            <w:tcBorders>
              <w:top w:val="nil"/>
              <w:left w:val="nil"/>
              <w:bottom w:val="single" w:sz="4" w:space="0" w:color="auto"/>
              <w:right w:val="single" w:sz="4" w:space="0" w:color="auto"/>
            </w:tcBorders>
            <w:shd w:val="clear" w:color="auto" w:fill="auto"/>
            <w:noWrap/>
            <w:vAlign w:val="center"/>
            <w:hideMark/>
          </w:tcPr>
          <w:p w14:paraId="6E0E3E6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260</w:t>
            </w:r>
          </w:p>
        </w:tc>
        <w:tc>
          <w:tcPr>
            <w:tcW w:w="900" w:type="dxa"/>
            <w:tcBorders>
              <w:top w:val="nil"/>
              <w:left w:val="nil"/>
              <w:bottom w:val="single" w:sz="4" w:space="0" w:color="auto"/>
              <w:right w:val="single" w:sz="4" w:space="0" w:color="auto"/>
            </w:tcBorders>
            <w:shd w:val="clear" w:color="auto" w:fill="auto"/>
            <w:noWrap/>
            <w:vAlign w:val="center"/>
            <w:hideMark/>
          </w:tcPr>
          <w:p w14:paraId="337BCC6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290</w:t>
            </w:r>
          </w:p>
        </w:tc>
        <w:tc>
          <w:tcPr>
            <w:tcW w:w="900" w:type="dxa"/>
            <w:tcBorders>
              <w:top w:val="nil"/>
              <w:left w:val="nil"/>
              <w:bottom w:val="single" w:sz="4" w:space="0" w:color="auto"/>
              <w:right w:val="single" w:sz="4" w:space="0" w:color="auto"/>
            </w:tcBorders>
            <w:shd w:val="clear" w:color="auto" w:fill="auto"/>
            <w:noWrap/>
            <w:vAlign w:val="center"/>
            <w:hideMark/>
          </w:tcPr>
          <w:p w14:paraId="2F5C877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295</w:t>
            </w:r>
          </w:p>
        </w:tc>
        <w:tc>
          <w:tcPr>
            <w:tcW w:w="900" w:type="dxa"/>
            <w:tcBorders>
              <w:top w:val="nil"/>
              <w:left w:val="nil"/>
              <w:bottom w:val="single" w:sz="4" w:space="0" w:color="auto"/>
              <w:right w:val="single" w:sz="4" w:space="0" w:color="auto"/>
            </w:tcBorders>
            <w:shd w:val="clear" w:color="auto" w:fill="auto"/>
            <w:noWrap/>
            <w:vAlign w:val="center"/>
            <w:hideMark/>
          </w:tcPr>
          <w:p w14:paraId="0BC5E57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270</w:t>
            </w:r>
          </w:p>
        </w:tc>
        <w:tc>
          <w:tcPr>
            <w:tcW w:w="900" w:type="dxa"/>
            <w:tcBorders>
              <w:top w:val="nil"/>
              <w:left w:val="nil"/>
              <w:bottom w:val="single" w:sz="4" w:space="0" w:color="auto"/>
              <w:right w:val="single" w:sz="4" w:space="0" w:color="auto"/>
            </w:tcBorders>
            <w:shd w:val="clear" w:color="auto" w:fill="auto"/>
            <w:noWrap/>
            <w:vAlign w:val="center"/>
            <w:hideMark/>
          </w:tcPr>
          <w:p w14:paraId="42006B5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283</w:t>
            </w:r>
          </w:p>
        </w:tc>
        <w:tc>
          <w:tcPr>
            <w:tcW w:w="900" w:type="dxa"/>
            <w:tcBorders>
              <w:top w:val="nil"/>
              <w:left w:val="nil"/>
              <w:bottom w:val="single" w:sz="4" w:space="0" w:color="auto"/>
              <w:right w:val="single" w:sz="12" w:space="0" w:color="auto"/>
            </w:tcBorders>
            <w:shd w:val="clear" w:color="auto" w:fill="auto"/>
            <w:noWrap/>
            <w:vAlign w:val="center"/>
            <w:hideMark/>
          </w:tcPr>
          <w:p w14:paraId="25226DB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35</w:t>
            </w:r>
          </w:p>
        </w:tc>
      </w:tr>
      <w:tr w:rsidR="00346E7C" w:rsidRPr="00346E7C" w14:paraId="7C8FB38B"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43A5900B"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4193C28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7</w:t>
            </w:r>
          </w:p>
        </w:tc>
        <w:tc>
          <w:tcPr>
            <w:tcW w:w="868" w:type="dxa"/>
            <w:tcBorders>
              <w:top w:val="nil"/>
              <w:left w:val="nil"/>
              <w:bottom w:val="single" w:sz="4" w:space="0" w:color="auto"/>
              <w:right w:val="single" w:sz="4" w:space="0" w:color="auto"/>
            </w:tcBorders>
            <w:shd w:val="clear" w:color="auto" w:fill="auto"/>
            <w:noWrap/>
            <w:vAlign w:val="center"/>
            <w:hideMark/>
          </w:tcPr>
          <w:p w14:paraId="5C996D6F"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320</w:t>
            </w:r>
          </w:p>
        </w:tc>
        <w:tc>
          <w:tcPr>
            <w:tcW w:w="900" w:type="dxa"/>
            <w:tcBorders>
              <w:top w:val="nil"/>
              <w:left w:val="nil"/>
              <w:bottom w:val="single" w:sz="4" w:space="0" w:color="auto"/>
              <w:right w:val="single" w:sz="4" w:space="0" w:color="auto"/>
            </w:tcBorders>
            <w:shd w:val="clear" w:color="auto" w:fill="auto"/>
            <w:noWrap/>
            <w:vAlign w:val="center"/>
            <w:hideMark/>
          </w:tcPr>
          <w:p w14:paraId="0508195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320</w:t>
            </w:r>
          </w:p>
        </w:tc>
        <w:tc>
          <w:tcPr>
            <w:tcW w:w="900" w:type="dxa"/>
            <w:tcBorders>
              <w:top w:val="nil"/>
              <w:left w:val="nil"/>
              <w:bottom w:val="single" w:sz="4" w:space="0" w:color="auto"/>
              <w:right w:val="single" w:sz="4" w:space="0" w:color="auto"/>
            </w:tcBorders>
            <w:shd w:val="clear" w:color="auto" w:fill="auto"/>
            <w:noWrap/>
            <w:vAlign w:val="center"/>
            <w:hideMark/>
          </w:tcPr>
          <w:p w14:paraId="22C1B6B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280</w:t>
            </w:r>
          </w:p>
        </w:tc>
        <w:tc>
          <w:tcPr>
            <w:tcW w:w="900" w:type="dxa"/>
            <w:tcBorders>
              <w:top w:val="nil"/>
              <w:left w:val="nil"/>
              <w:bottom w:val="single" w:sz="4" w:space="0" w:color="auto"/>
              <w:right w:val="single" w:sz="4" w:space="0" w:color="auto"/>
            </w:tcBorders>
            <w:shd w:val="clear" w:color="auto" w:fill="auto"/>
            <w:noWrap/>
            <w:vAlign w:val="center"/>
            <w:hideMark/>
          </w:tcPr>
          <w:p w14:paraId="7C8A56B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305</w:t>
            </w:r>
          </w:p>
        </w:tc>
        <w:tc>
          <w:tcPr>
            <w:tcW w:w="900" w:type="dxa"/>
            <w:tcBorders>
              <w:top w:val="nil"/>
              <w:left w:val="nil"/>
              <w:bottom w:val="single" w:sz="4" w:space="0" w:color="auto"/>
              <w:right w:val="single" w:sz="4" w:space="0" w:color="auto"/>
            </w:tcBorders>
            <w:shd w:val="clear" w:color="auto" w:fill="auto"/>
            <w:noWrap/>
            <w:vAlign w:val="center"/>
            <w:hideMark/>
          </w:tcPr>
          <w:p w14:paraId="622E00C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310</w:t>
            </w:r>
          </w:p>
        </w:tc>
        <w:tc>
          <w:tcPr>
            <w:tcW w:w="900" w:type="dxa"/>
            <w:tcBorders>
              <w:top w:val="nil"/>
              <w:left w:val="nil"/>
              <w:bottom w:val="single" w:sz="4" w:space="0" w:color="auto"/>
              <w:right w:val="single" w:sz="4" w:space="0" w:color="auto"/>
            </w:tcBorders>
            <w:shd w:val="clear" w:color="auto" w:fill="auto"/>
            <w:noWrap/>
            <w:vAlign w:val="center"/>
            <w:hideMark/>
          </w:tcPr>
          <w:p w14:paraId="19E098A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280</w:t>
            </w:r>
          </w:p>
        </w:tc>
        <w:tc>
          <w:tcPr>
            <w:tcW w:w="900" w:type="dxa"/>
            <w:tcBorders>
              <w:top w:val="nil"/>
              <w:left w:val="nil"/>
              <w:bottom w:val="single" w:sz="4" w:space="0" w:color="auto"/>
              <w:right w:val="single" w:sz="4" w:space="0" w:color="auto"/>
            </w:tcBorders>
            <w:shd w:val="clear" w:color="auto" w:fill="auto"/>
            <w:noWrap/>
            <w:vAlign w:val="center"/>
            <w:hideMark/>
          </w:tcPr>
          <w:p w14:paraId="584D07A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303</w:t>
            </w:r>
          </w:p>
        </w:tc>
        <w:tc>
          <w:tcPr>
            <w:tcW w:w="900" w:type="dxa"/>
            <w:tcBorders>
              <w:top w:val="nil"/>
              <w:left w:val="nil"/>
              <w:bottom w:val="single" w:sz="4" w:space="0" w:color="auto"/>
              <w:right w:val="single" w:sz="12" w:space="0" w:color="auto"/>
            </w:tcBorders>
            <w:shd w:val="clear" w:color="auto" w:fill="auto"/>
            <w:noWrap/>
            <w:vAlign w:val="center"/>
            <w:hideMark/>
          </w:tcPr>
          <w:p w14:paraId="1E2B420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40</w:t>
            </w:r>
          </w:p>
        </w:tc>
      </w:tr>
      <w:tr w:rsidR="00346E7C" w:rsidRPr="00346E7C" w14:paraId="694E4216"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2FE7C885"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6A0454E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14</w:t>
            </w:r>
          </w:p>
        </w:tc>
        <w:tc>
          <w:tcPr>
            <w:tcW w:w="868" w:type="dxa"/>
            <w:tcBorders>
              <w:top w:val="nil"/>
              <w:left w:val="nil"/>
              <w:bottom w:val="single" w:sz="4" w:space="0" w:color="auto"/>
              <w:right w:val="single" w:sz="4" w:space="0" w:color="auto"/>
            </w:tcBorders>
            <w:shd w:val="clear" w:color="auto" w:fill="auto"/>
            <w:noWrap/>
            <w:vAlign w:val="center"/>
            <w:hideMark/>
          </w:tcPr>
          <w:p w14:paraId="43392F4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290</w:t>
            </w:r>
          </w:p>
        </w:tc>
        <w:tc>
          <w:tcPr>
            <w:tcW w:w="900" w:type="dxa"/>
            <w:tcBorders>
              <w:top w:val="nil"/>
              <w:left w:val="nil"/>
              <w:bottom w:val="single" w:sz="4" w:space="0" w:color="auto"/>
              <w:right w:val="single" w:sz="4" w:space="0" w:color="auto"/>
            </w:tcBorders>
            <w:shd w:val="clear" w:color="auto" w:fill="auto"/>
            <w:noWrap/>
            <w:vAlign w:val="center"/>
            <w:hideMark/>
          </w:tcPr>
          <w:p w14:paraId="03D7941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315</w:t>
            </w:r>
          </w:p>
        </w:tc>
        <w:tc>
          <w:tcPr>
            <w:tcW w:w="900" w:type="dxa"/>
            <w:tcBorders>
              <w:top w:val="nil"/>
              <w:left w:val="nil"/>
              <w:bottom w:val="single" w:sz="4" w:space="0" w:color="auto"/>
              <w:right w:val="single" w:sz="4" w:space="0" w:color="auto"/>
            </w:tcBorders>
            <w:shd w:val="clear" w:color="auto" w:fill="auto"/>
            <w:noWrap/>
            <w:vAlign w:val="center"/>
            <w:hideMark/>
          </w:tcPr>
          <w:p w14:paraId="0058A29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300</w:t>
            </w:r>
          </w:p>
        </w:tc>
        <w:tc>
          <w:tcPr>
            <w:tcW w:w="900" w:type="dxa"/>
            <w:tcBorders>
              <w:top w:val="nil"/>
              <w:left w:val="nil"/>
              <w:bottom w:val="single" w:sz="4" w:space="0" w:color="auto"/>
              <w:right w:val="single" w:sz="4" w:space="0" w:color="auto"/>
            </w:tcBorders>
            <w:shd w:val="clear" w:color="auto" w:fill="auto"/>
            <w:noWrap/>
            <w:vAlign w:val="center"/>
            <w:hideMark/>
          </w:tcPr>
          <w:p w14:paraId="6361BD0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305</w:t>
            </w:r>
          </w:p>
        </w:tc>
        <w:tc>
          <w:tcPr>
            <w:tcW w:w="900" w:type="dxa"/>
            <w:tcBorders>
              <w:top w:val="nil"/>
              <w:left w:val="nil"/>
              <w:bottom w:val="single" w:sz="4" w:space="0" w:color="auto"/>
              <w:right w:val="single" w:sz="4" w:space="0" w:color="auto"/>
            </w:tcBorders>
            <w:shd w:val="clear" w:color="auto" w:fill="auto"/>
            <w:noWrap/>
            <w:vAlign w:val="center"/>
            <w:hideMark/>
          </w:tcPr>
          <w:p w14:paraId="379E081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325</w:t>
            </w:r>
          </w:p>
        </w:tc>
        <w:tc>
          <w:tcPr>
            <w:tcW w:w="900" w:type="dxa"/>
            <w:tcBorders>
              <w:top w:val="nil"/>
              <w:left w:val="nil"/>
              <w:bottom w:val="single" w:sz="4" w:space="0" w:color="auto"/>
              <w:right w:val="single" w:sz="4" w:space="0" w:color="auto"/>
            </w:tcBorders>
            <w:shd w:val="clear" w:color="auto" w:fill="auto"/>
            <w:noWrap/>
            <w:vAlign w:val="center"/>
            <w:hideMark/>
          </w:tcPr>
          <w:p w14:paraId="44A9525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335</w:t>
            </w:r>
          </w:p>
        </w:tc>
        <w:tc>
          <w:tcPr>
            <w:tcW w:w="900" w:type="dxa"/>
            <w:tcBorders>
              <w:top w:val="nil"/>
              <w:left w:val="nil"/>
              <w:bottom w:val="single" w:sz="4" w:space="0" w:color="auto"/>
              <w:right w:val="single" w:sz="4" w:space="0" w:color="auto"/>
            </w:tcBorders>
            <w:shd w:val="clear" w:color="auto" w:fill="auto"/>
            <w:noWrap/>
            <w:vAlign w:val="center"/>
            <w:hideMark/>
          </w:tcPr>
          <w:p w14:paraId="2EC7BFD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312</w:t>
            </w:r>
          </w:p>
        </w:tc>
        <w:tc>
          <w:tcPr>
            <w:tcW w:w="900" w:type="dxa"/>
            <w:tcBorders>
              <w:top w:val="nil"/>
              <w:left w:val="nil"/>
              <w:bottom w:val="single" w:sz="4" w:space="0" w:color="auto"/>
              <w:right w:val="single" w:sz="12" w:space="0" w:color="auto"/>
            </w:tcBorders>
            <w:shd w:val="clear" w:color="auto" w:fill="auto"/>
            <w:noWrap/>
            <w:vAlign w:val="center"/>
            <w:hideMark/>
          </w:tcPr>
          <w:p w14:paraId="4017BA2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45</w:t>
            </w:r>
          </w:p>
        </w:tc>
      </w:tr>
      <w:tr w:rsidR="00346E7C" w:rsidRPr="00346E7C" w14:paraId="0CE70FB0" w14:textId="77777777" w:rsidTr="00346E7C">
        <w:trPr>
          <w:trHeight w:val="315"/>
          <w:jc w:val="center"/>
        </w:trPr>
        <w:tc>
          <w:tcPr>
            <w:tcW w:w="9683"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7A4A3BD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 </w:t>
            </w:r>
          </w:p>
        </w:tc>
      </w:tr>
      <w:tr w:rsidR="00346E7C" w:rsidRPr="00346E7C" w14:paraId="316C487F" w14:textId="77777777" w:rsidTr="00346E7C">
        <w:trPr>
          <w:trHeight w:val="315"/>
          <w:jc w:val="center"/>
        </w:trPr>
        <w:tc>
          <w:tcPr>
            <w:tcW w:w="1403" w:type="dxa"/>
            <w:vMerge w:val="restart"/>
            <w:tcBorders>
              <w:top w:val="nil"/>
              <w:left w:val="single" w:sz="12" w:space="0" w:color="auto"/>
              <w:bottom w:val="single" w:sz="4" w:space="0" w:color="auto"/>
              <w:right w:val="single" w:sz="4" w:space="0" w:color="auto"/>
            </w:tcBorders>
            <w:shd w:val="clear" w:color="auto" w:fill="auto"/>
            <w:vAlign w:val="center"/>
            <w:hideMark/>
          </w:tcPr>
          <w:p w14:paraId="17517F3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Commercial ACI</w:t>
            </w:r>
          </w:p>
        </w:tc>
        <w:tc>
          <w:tcPr>
            <w:tcW w:w="1112" w:type="dxa"/>
            <w:tcBorders>
              <w:top w:val="nil"/>
              <w:left w:val="nil"/>
              <w:bottom w:val="single" w:sz="4" w:space="0" w:color="auto"/>
              <w:right w:val="single" w:sz="4" w:space="0" w:color="auto"/>
            </w:tcBorders>
            <w:shd w:val="clear" w:color="auto" w:fill="auto"/>
            <w:noWrap/>
            <w:vAlign w:val="center"/>
            <w:hideMark/>
          </w:tcPr>
          <w:p w14:paraId="2C8A6E9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0</w:t>
            </w:r>
          </w:p>
        </w:tc>
        <w:tc>
          <w:tcPr>
            <w:tcW w:w="868" w:type="dxa"/>
            <w:tcBorders>
              <w:top w:val="nil"/>
              <w:left w:val="nil"/>
              <w:bottom w:val="single" w:sz="4" w:space="0" w:color="auto"/>
              <w:right w:val="single" w:sz="4" w:space="0" w:color="auto"/>
            </w:tcBorders>
            <w:shd w:val="clear" w:color="auto" w:fill="auto"/>
            <w:noWrap/>
            <w:vAlign w:val="center"/>
            <w:hideMark/>
          </w:tcPr>
          <w:p w14:paraId="55C1A29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300</w:t>
            </w:r>
          </w:p>
        </w:tc>
        <w:tc>
          <w:tcPr>
            <w:tcW w:w="900" w:type="dxa"/>
            <w:tcBorders>
              <w:top w:val="nil"/>
              <w:left w:val="nil"/>
              <w:bottom w:val="single" w:sz="4" w:space="0" w:color="auto"/>
              <w:right w:val="single" w:sz="4" w:space="0" w:color="auto"/>
            </w:tcBorders>
            <w:shd w:val="clear" w:color="auto" w:fill="auto"/>
            <w:noWrap/>
            <w:vAlign w:val="center"/>
            <w:hideMark/>
          </w:tcPr>
          <w:p w14:paraId="0087983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280</w:t>
            </w:r>
          </w:p>
        </w:tc>
        <w:tc>
          <w:tcPr>
            <w:tcW w:w="900" w:type="dxa"/>
            <w:tcBorders>
              <w:top w:val="nil"/>
              <w:left w:val="nil"/>
              <w:bottom w:val="single" w:sz="4" w:space="0" w:color="auto"/>
              <w:right w:val="single" w:sz="4" w:space="0" w:color="auto"/>
            </w:tcBorders>
            <w:shd w:val="clear" w:color="auto" w:fill="auto"/>
            <w:noWrap/>
            <w:vAlign w:val="center"/>
            <w:hideMark/>
          </w:tcPr>
          <w:p w14:paraId="6CE6EDD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310</w:t>
            </w:r>
          </w:p>
        </w:tc>
        <w:tc>
          <w:tcPr>
            <w:tcW w:w="900" w:type="dxa"/>
            <w:tcBorders>
              <w:top w:val="nil"/>
              <w:left w:val="nil"/>
              <w:bottom w:val="single" w:sz="4" w:space="0" w:color="auto"/>
              <w:right w:val="single" w:sz="4" w:space="0" w:color="auto"/>
            </w:tcBorders>
            <w:shd w:val="clear" w:color="auto" w:fill="auto"/>
            <w:noWrap/>
            <w:vAlign w:val="center"/>
            <w:hideMark/>
          </w:tcPr>
          <w:p w14:paraId="723E261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305</w:t>
            </w:r>
          </w:p>
        </w:tc>
        <w:tc>
          <w:tcPr>
            <w:tcW w:w="900" w:type="dxa"/>
            <w:tcBorders>
              <w:top w:val="nil"/>
              <w:left w:val="nil"/>
              <w:bottom w:val="single" w:sz="4" w:space="0" w:color="auto"/>
              <w:right w:val="single" w:sz="4" w:space="0" w:color="auto"/>
            </w:tcBorders>
            <w:shd w:val="clear" w:color="auto" w:fill="auto"/>
            <w:noWrap/>
            <w:vAlign w:val="center"/>
            <w:hideMark/>
          </w:tcPr>
          <w:p w14:paraId="5549454F"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305</w:t>
            </w:r>
          </w:p>
        </w:tc>
        <w:tc>
          <w:tcPr>
            <w:tcW w:w="900" w:type="dxa"/>
            <w:tcBorders>
              <w:top w:val="nil"/>
              <w:left w:val="nil"/>
              <w:bottom w:val="single" w:sz="4" w:space="0" w:color="auto"/>
              <w:right w:val="single" w:sz="4" w:space="0" w:color="auto"/>
            </w:tcBorders>
            <w:shd w:val="clear" w:color="auto" w:fill="auto"/>
            <w:noWrap/>
            <w:vAlign w:val="center"/>
            <w:hideMark/>
          </w:tcPr>
          <w:p w14:paraId="76F4BDA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300</w:t>
            </w:r>
          </w:p>
        </w:tc>
        <w:tc>
          <w:tcPr>
            <w:tcW w:w="900" w:type="dxa"/>
            <w:tcBorders>
              <w:top w:val="nil"/>
              <w:left w:val="nil"/>
              <w:bottom w:val="single" w:sz="4" w:space="0" w:color="auto"/>
              <w:right w:val="single" w:sz="4" w:space="0" w:color="auto"/>
            </w:tcBorders>
            <w:shd w:val="clear" w:color="auto" w:fill="auto"/>
            <w:noWrap/>
            <w:vAlign w:val="center"/>
            <w:hideMark/>
          </w:tcPr>
          <w:p w14:paraId="261C2388" w14:textId="4D08ED66"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300</w:t>
            </w:r>
          </w:p>
        </w:tc>
        <w:tc>
          <w:tcPr>
            <w:tcW w:w="900" w:type="dxa"/>
            <w:tcBorders>
              <w:top w:val="nil"/>
              <w:left w:val="nil"/>
              <w:bottom w:val="single" w:sz="4" w:space="0" w:color="auto"/>
              <w:right w:val="single" w:sz="12" w:space="0" w:color="auto"/>
            </w:tcBorders>
            <w:shd w:val="clear" w:color="auto" w:fill="auto"/>
            <w:noWrap/>
            <w:vAlign w:val="center"/>
            <w:hideMark/>
          </w:tcPr>
          <w:p w14:paraId="208BE21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w:t>
            </w:r>
          </w:p>
        </w:tc>
      </w:tr>
      <w:tr w:rsidR="00346E7C" w:rsidRPr="00346E7C" w14:paraId="371BBFD5"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2225EAF5"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23B3830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w:t>
            </w:r>
          </w:p>
        </w:tc>
        <w:tc>
          <w:tcPr>
            <w:tcW w:w="868" w:type="dxa"/>
            <w:tcBorders>
              <w:top w:val="nil"/>
              <w:left w:val="nil"/>
              <w:bottom w:val="single" w:sz="4" w:space="0" w:color="auto"/>
              <w:right w:val="single" w:sz="4" w:space="0" w:color="auto"/>
            </w:tcBorders>
            <w:shd w:val="clear" w:color="auto" w:fill="auto"/>
            <w:noWrap/>
            <w:vAlign w:val="center"/>
            <w:hideMark/>
          </w:tcPr>
          <w:p w14:paraId="38B6B56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350</w:t>
            </w:r>
          </w:p>
        </w:tc>
        <w:tc>
          <w:tcPr>
            <w:tcW w:w="900" w:type="dxa"/>
            <w:tcBorders>
              <w:top w:val="nil"/>
              <w:left w:val="nil"/>
              <w:bottom w:val="single" w:sz="4" w:space="0" w:color="auto"/>
              <w:right w:val="single" w:sz="4" w:space="0" w:color="auto"/>
            </w:tcBorders>
            <w:shd w:val="clear" w:color="auto" w:fill="auto"/>
            <w:noWrap/>
            <w:vAlign w:val="center"/>
            <w:hideMark/>
          </w:tcPr>
          <w:p w14:paraId="545B098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300</w:t>
            </w:r>
          </w:p>
        </w:tc>
        <w:tc>
          <w:tcPr>
            <w:tcW w:w="900" w:type="dxa"/>
            <w:tcBorders>
              <w:top w:val="nil"/>
              <w:left w:val="nil"/>
              <w:bottom w:val="single" w:sz="4" w:space="0" w:color="auto"/>
              <w:right w:val="single" w:sz="4" w:space="0" w:color="auto"/>
            </w:tcBorders>
            <w:shd w:val="clear" w:color="auto" w:fill="auto"/>
            <w:noWrap/>
            <w:vAlign w:val="center"/>
            <w:hideMark/>
          </w:tcPr>
          <w:p w14:paraId="4389BF0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350</w:t>
            </w:r>
          </w:p>
        </w:tc>
        <w:tc>
          <w:tcPr>
            <w:tcW w:w="900" w:type="dxa"/>
            <w:tcBorders>
              <w:top w:val="nil"/>
              <w:left w:val="nil"/>
              <w:bottom w:val="single" w:sz="4" w:space="0" w:color="auto"/>
              <w:right w:val="single" w:sz="4" w:space="0" w:color="auto"/>
            </w:tcBorders>
            <w:shd w:val="clear" w:color="auto" w:fill="auto"/>
            <w:noWrap/>
            <w:vAlign w:val="center"/>
            <w:hideMark/>
          </w:tcPr>
          <w:p w14:paraId="1672963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44F861B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340</w:t>
            </w:r>
          </w:p>
        </w:tc>
        <w:tc>
          <w:tcPr>
            <w:tcW w:w="900" w:type="dxa"/>
            <w:tcBorders>
              <w:top w:val="nil"/>
              <w:left w:val="nil"/>
              <w:bottom w:val="single" w:sz="4" w:space="0" w:color="auto"/>
              <w:right w:val="single" w:sz="4" w:space="0" w:color="auto"/>
            </w:tcBorders>
            <w:shd w:val="clear" w:color="auto" w:fill="auto"/>
            <w:noWrap/>
            <w:vAlign w:val="center"/>
            <w:hideMark/>
          </w:tcPr>
          <w:p w14:paraId="07C97EC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58105A59" w14:textId="09A4D864"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338</w:t>
            </w:r>
          </w:p>
        </w:tc>
        <w:tc>
          <w:tcPr>
            <w:tcW w:w="900" w:type="dxa"/>
            <w:tcBorders>
              <w:top w:val="nil"/>
              <w:left w:val="nil"/>
              <w:bottom w:val="single" w:sz="4" w:space="0" w:color="auto"/>
              <w:right w:val="single" w:sz="12" w:space="0" w:color="auto"/>
            </w:tcBorders>
            <w:shd w:val="clear" w:color="auto" w:fill="auto"/>
            <w:noWrap/>
            <w:vAlign w:val="center"/>
            <w:hideMark/>
          </w:tcPr>
          <w:p w14:paraId="0666F6E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50</w:t>
            </w:r>
          </w:p>
        </w:tc>
      </w:tr>
      <w:tr w:rsidR="00346E7C" w:rsidRPr="00346E7C" w14:paraId="73925189"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3E9B3123"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62B8CEA0"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7</w:t>
            </w:r>
          </w:p>
        </w:tc>
        <w:tc>
          <w:tcPr>
            <w:tcW w:w="868" w:type="dxa"/>
            <w:tcBorders>
              <w:top w:val="nil"/>
              <w:left w:val="nil"/>
              <w:bottom w:val="single" w:sz="4" w:space="0" w:color="auto"/>
              <w:right w:val="single" w:sz="4" w:space="0" w:color="auto"/>
            </w:tcBorders>
            <w:shd w:val="clear" w:color="auto" w:fill="auto"/>
            <w:noWrap/>
            <w:vAlign w:val="center"/>
            <w:hideMark/>
          </w:tcPr>
          <w:p w14:paraId="66DBB1D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315</w:t>
            </w:r>
          </w:p>
        </w:tc>
        <w:tc>
          <w:tcPr>
            <w:tcW w:w="900" w:type="dxa"/>
            <w:tcBorders>
              <w:top w:val="nil"/>
              <w:left w:val="nil"/>
              <w:bottom w:val="single" w:sz="4" w:space="0" w:color="auto"/>
              <w:right w:val="single" w:sz="4" w:space="0" w:color="auto"/>
            </w:tcBorders>
            <w:shd w:val="clear" w:color="auto" w:fill="auto"/>
            <w:noWrap/>
            <w:vAlign w:val="center"/>
            <w:hideMark/>
          </w:tcPr>
          <w:p w14:paraId="15420CD3"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335</w:t>
            </w:r>
          </w:p>
        </w:tc>
        <w:tc>
          <w:tcPr>
            <w:tcW w:w="900" w:type="dxa"/>
            <w:tcBorders>
              <w:top w:val="nil"/>
              <w:left w:val="nil"/>
              <w:bottom w:val="single" w:sz="4" w:space="0" w:color="auto"/>
              <w:right w:val="single" w:sz="4" w:space="0" w:color="auto"/>
            </w:tcBorders>
            <w:shd w:val="clear" w:color="auto" w:fill="auto"/>
            <w:noWrap/>
            <w:vAlign w:val="center"/>
            <w:hideMark/>
          </w:tcPr>
          <w:p w14:paraId="21F2C95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340</w:t>
            </w:r>
          </w:p>
        </w:tc>
        <w:tc>
          <w:tcPr>
            <w:tcW w:w="900" w:type="dxa"/>
            <w:tcBorders>
              <w:top w:val="nil"/>
              <w:left w:val="nil"/>
              <w:bottom w:val="single" w:sz="4" w:space="0" w:color="auto"/>
              <w:right w:val="single" w:sz="4" w:space="0" w:color="auto"/>
            </w:tcBorders>
            <w:shd w:val="clear" w:color="auto" w:fill="auto"/>
            <w:noWrap/>
            <w:vAlign w:val="center"/>
            <w:hideMark/>
          </w:tcPr>
          <w:p w14:paraId="7A226AB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360</w:t>
            </w:r>
          </w:p>
        </w:tc>
        <w:tc>
          <w:tcPr>
            <w:tcW w:w="900" w:type="dxa"/>
            <w:tcBorders>
              <w:top w:val="nil"/>
              <w:left w:val="nil"/>
              <w:bottom w:val="single" w:sz="4" w:space="0" w:color="auto"/>
              <w:right w:val="single" w:sz="4" w:space="0" w:color="auto"/>
            </w:tcBorders>
            <w:shd w:val="clear" w:color="auto" w:fill="auto"/>
            <w:noWrap/>
            <w:vAlign w:val="center"/>
            <w:hideMark/>
          </w:tcPr>
          <w:p w14:paraId="1564C81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565D23D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335</w:t>
            </w:r>
          </w:p>
        </w:tc>
        <w:tc>
          <w:tcPr>
            <w:tcW w:w="900" w:type="dxa"/>
            <w:tcBorders>
              <w:top w:val="nil"/>
              <w:left w:val="nil"/>
              <w:bottom w:val="single" w:sz="4" w:space="0" w:color="auto"/>
              <w:right w:val="single" w:sz="4" w:space="0" w:color="auto"/>
            </w:tcBorders>
            <w:shd w:val="clear" w:color="auto" w:fill="auto"/>
            <w:noWrap/>
            <w:vAlign w:val="center"/>
            <w:hideMark/>
          </w:tcPr>
          <w:p w14:paraId="4E352196" w14:textId="0428D40C"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338</w:t>
            </w:r>
          </w:p>
        </w:tc>
        <w:tc>
          <w:tcPr>
            <w:tcW w:w="900" w:type="dxa"/>
            <w:tcBorders>
              <w:top w:val="nil"/>
              <w:left w:val="nil"/>
              <w:bottom w:val="single" w:sz="4" w:space="0" w:color="auto"/>
              <w:right w:val="single" w:sz="12" w:space="0" w:color="auto"/>
            </w:tcBorders>
            <w:shd w:val="clear" w:color="auto" w:fill="auto"/>
            <w:noWrap/>
            <w:vAlign w:val="center"/>
            <w:hideMark/>
          </w:tcPr>
          <w:p w14:paraId="6756449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45</w:t>
            </w:r>
          </w:p>
        </w:tc>
      </w:tr>
      <w:tr w:rsidR="00346E7C" w:rsidRPr="00346E7C" w14:paraId="151E5454"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4F4ED833"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1EC8F7D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14</w:t>
            </w:r>
          </w:p>
        </w:tc>
        <w:tc>
          <w:tcPr>
            <w:tcW w:w="868" w:type="dxa"/>
            <w:tcBorders>
              <w:top w:val="nil"/>
              <w:left w:val="nil"/>
              <w:bottom w:val="single" w:sz="4" w:space="0" w:color="auto"/>
              <w:right w:val="single" w:sz="4" w:space="0" w:color="auto"/>
            </w:tcBorders>
            <w:shd w:val="clear" w:color="auto" w:fill="auto"/>
            <w:noWrap/>
            <w:vAlign w:val="center"/>
            <w:hideMark/>
          </w:tcPr>
          <w:p w14:paraId="1ED9C33C"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370</w:t>
            </w:r>
          </w:p>
        </w:tc>
        <w:tc>
          <w:tcPr>
            <w:tcW w:w="900" w:type="dxa"/>
            <w:tcBorders>
              <w:top w:val="nil"/>
              <w:left w:val="nil"/>
              <w:bottom w:val="single" w:sz="4" w:space="0" w:color="auto"/>
              <w:right w:val="single" w:sz="4" w:space="0" w:color="auto"/>
            </w:tcBorders>
            <w:shd w:val="clear" w:color="auto" w:fill="auto"/>
            <w:noWrap/>
            <w:vAlign w:val="center"/>
            <w:hideMark/>
          </w:tcPr>
          <w:p w14:paraId="2323A87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385</w:t>
            </w:r>
          </w:p>
        </w:tc>
        <w:tc>
          <w:tcPr>
            <w:tcW w:w="900" w:type="dxa"/>
            <w:tcBorders>
              <w:top w:val="nil"/>
              <w:left w:val="nil"/>
              <w:bottom w:val="single" w:sz="4" w:space="0" w:color="auto"/>
              <w:right w:val="single" w:sz="4" w:space="0" w:color="auto"/>
            </w:tcBorders>
            <w:shd w:val="clear" w:color="auto" w:fill="auto"/>
            <w:noWrap/>
            <w:vAlign w:val="center"/>
            <w:hideMark/>
          </w:tcPr>
          <w:p w14:paraId="2A03BF7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6CD616D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370</w:t>
            </w:r>
          </w:p>
        </w:tc>
        <w:tc>
          <w:tcPr>
            <w:tcW w:w="900" w:type="dxa"/>
            <w:tcBorders>
              <w:top w:val="nil"/>
              <w:left w:val="nil"/>
              <w:bottom w:val="single" w:sz="4" w:space="0" w:color="auto"/>
              <w:right w:val="single" w:sz="4" w:space="0" w:color="auto"/>
            </w:tcBorders>
            <w:shd w:val="clear" w:color="auto" w:fill="auto"/>
            <w:noWrap/>
            <w:vAlign w:val="center"/>
            <w:hideMark/>
          </w:tcPr>
          <w:p w14:paraId="6C364C2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370</w:t>
            </w:r>
          </w:p>
        </w:tc>
        <w:tc>
          <w:tcPr>
            <w:tcW w:w="900" w:type="dxa"/>
            <w:tcBorders>
              <w:top w:val="nil"/>
              <w:left w:val="nil"/>
              <w:bottom w:val="single" w:sz="4" w:space="0" w:color="auto"/>
              <w:right w:val="single" w:sz="4" w:space="0" w:color="auto"/>
            </w:tcBorders>
            <w:shd w:val="clear" w:color="auto" w:fill="auto"/>
            <w:noWrap/>
            <w:vAlign w:val="center"/>
            <w:hideMark/>
          </w:tcPr>
          <w:p w14:paraId="7A147AA9"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340</w:t>
            </w:r>
          </w:p>
        </w:tc>
        <w:tc>
          <w:tcPr>
            <w:tcW w:w="900" w:type="dxa"/>
            <w:tcBorders>
              <w:top w:val="nil"/>
              <w:left w:val="nil"/>
              <w:bottom w:val="single" w:sz="4" w:space="0" w:color="auto"/>
              <w:right w:val="single" w:sz="4" w:space="0" w:color="auto"/>
            </w:tcBorders>
            <w:shd w:val="clear" w:color="auto" w:fill="auto"/>
            <w:noWrap/>
            <w:vAlign w:val="center"/>
            <w:hideMark/>
          </w:tcPr>
          <w:p w14:paraId="7EB2A764" w14:textId="29EEE526"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363</w:t>
            </w:r>
          </w:p>
        </w:tc>
        <w:tc>
          <w:tcPr>
            <w:tcW w:w="900" w:type="dxa"/>
            <w:tcBorders>
              <w:top w:val="nil"/>
              <w:left w:val="nil"/>
              <w:bottom w:val="single" w:sz="4" w:space="0" w:color="auto"/>
              <w:right w:val="single" w:sz="12" w:space="0" w:color="auto"/>
            </w:tcBorders>
            <w:shd w:val="clear" w:color="auto" w:fill="auto"/>
            <w:noWrap/>
            <w:vAlign w:val="center"/>
            <w:hideMark/>
          </w:tcPr>
          <w:p w14:paraId="26CCAD3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45</w:t>
            </w:r>
          </w:p>
        </w:tc>
      </w:tr>
      <w:tr w:rsidR="00346E7C" w:rsidRPr="00346E7C" w14:paraId="5914FA8E" w14:textId="77777777" w:rsidTr="00346E7C">
        <w:trPr>
          <w:trHeight w:val="315"/>
          <w:jc w:val="center"/>
        </w:trPr>
        <w:tc>
          <w:tcPr>
            <w:tcW w:w="9683" w:type="dxa"/>
            <w:gridSpan w:val="10"/>
            <w:tcBorders>
              <w:top w:val="single" w:sz="4" w:space="0" w:color="auto"/>
              <w:left w:val="single" w:sz="12" w:space="0" w:color="auto"/>
              <w:bottom w:val="single" w:sz="4" w:space="0" w:color="auto"/>
              <w:right w:val="single" w:sz="12" w:space="0" w:color="auto"/>
            </w:tcBorders>
            <w:shd w:val="clear" w:color="auto" w:fill="auto"/>
            <w:vAlign w:val="center"/>
            <w:hideMark/>
          </w:tcPr>
          <w:p w14:paraId="4795CE3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 </w:t>
            </w:r>
          </w:p>
        </w:tc>
      </w:tr>
      <w:tr w:rsidR="00346E7C" w:rsidRPr="00346E7C" w14:paraId="5B49A95B" w14:textId="77777777" w:rsidTr="00346E7C">
        <w:trPr>
          <w:trHeight w:val="315"/>
          <w:jc w:val="center"/>
        </w:trPr>
        <w:tc>
          <w:tcPr>
            <w:tcW w:w="1403"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4DD0CF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CRED</w:t>
            </w:r>
          </w:p>
        </w:tc>
        <w:tc>
          <w:tcPr>
            <w:tcW w:w="1112" w:type="dxa"/>
            <w:tcBorders>
              <w:top w:val="nil"/>
              <w:left w:val="nil"/>
              <w:bottom w:val="single" w:sz="4" w:space="0" w:color="auto"/>
              <w:right w:val="single" w:sz="4" w:space="0" w:color="auto"/>
            </w:tcBorders>
            <w:shd w:val="clear" w:color="auto" w:fill="auto"/>
            <w:noWrap/>
            <w:vAlign w:val="center"/>
            <w:hideMark/>
          </w:tcPr>
          <w:p w14:paraId="7F47A22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0</w:t>
            </w:r>
          </w:p>
        </w:tc>
        <w:tc>
          <w:tcPr>
            <w:tcW w:w="868" w:type="dxa"/>
            <w:tcBorders>
              <w:top w:val="nil"/>
              <w:left w:val="nil"/>
              <w:bottom w:val="single" w:sz="4" w:space="0" w:color="auto"/>
              <w:right w:val="single" w:sz="4" w:space="0" w:color="auto"/>
            </w:tcBorders>
            <w:shd w:val="clear" w:color="auto" w:fill="auto"/>
            <w:noWrap/>
            <w:vAlign w:val="center"/>
            <w:hideMark/>
          </w:tcPr>
          <w:p w14:paraId="7A25332B"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340</w:t>
            </w:r>
          </w:p>
        </w:tc>
        <w:tc>
          <w:tcPr>
            <w:tcW w:w="900" w:type="dxa"/>
            <w:tcBorders>
              <w:top w:val="nil"/>
              <w:left w:val="nil"/>
              <w:bottom w:val="single" w:sz="4" w:space="0" w:color="auto"/>
              <w:right w:val="single" w:sz="4" w:space="0" w:color="auto"/>
            </w:tcBorders>
            <w:shd w:val="clear" w:color="auto" w:fill="auto"/>
            <w:noWrap/>
            <w:vAlign w:val="center"/>
            <w:hideMark/>
          </w:tcPr>
          <w:p w14:paraId="0028FA0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3F0C865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355</w:t>
            </w:r>
          </w:p>
        </w:tc>
        <w:tc>
          <w:tcPr>
            <w:tcW w:w="900" w:type="dxa"/>
            <w:tcBorders>
              <w:top w:val="nil"/>
              <w:left w:val="nil"/>
              <w:bottom w:val="single" w:sz="4" w:space="0" w:color="auto"/>
              <w:right w:val="single" w:sz="4" w:space="0" w:color="auto"/>
            </w:tcBorders>
            <w:shd w:val="clear" w:color="auto" w:fill="auto"/>
            <w:noWrap/>
            <w:vAlign w:val="center"/>
            <w:hideMark/>
          </w:tcPr>
          <w:p w14:paraId="5E8A2FA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325</w:t>
            </w:r>
          </w:p>
        </w:tc>
        <w:tc>
          <w:tcPr>
            <w:tcW w:w="900" w:type="dxa"/>
            <w:tcBorders>
              <w:top w:val="nil"/>
              <w:left w:val="nil"/>
              <w:bottom w:val="single" w:sz="4" w:space="0" w:color="auto"/>
              <w:right w:val="single" w:sz="4" w:space="0" w:color="auto"/>
            </w:tcBorders>
            <w:shd w:val="clear" w:color="auto" w:fill="auto"/>
            <w:noWrap/>
            <w:vAlign w:val="center"/>
            <w:hideMark/>
          </w:tcPr>
          <w:p w14:paraId="76536B3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360</w:t>
            </w:r>
          </w:p>
        </w:tc>
        <w:tc>
          <w:tcPr>
            <w:tcW w:w="900" w:type="dxa"/>
            <w:tcBorders>
              <w:top w:val="nil"/>
              <w:left w:val="nil"/>
              <w:bottom w:val="single" w:sz="4" w:space="0" w:color="auto"/>
              <w:right w:val="single" w:sz="4" w:space="0" w:color="auto"/>
            </w:tcBorders>
            <w:shd w:val="clear" w:color="auto" w:fill="auto"/>
            <w:noWrap/>
            <w:vAlign w:val="center"/>
            <w:hideMark/>
          </w:tcPr>
          <w:p w14:paraId="7946053C"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315</w:t>
            </w:r>
          </w:p>
        </w:tc>
        <w:tc>
          <w:tcPr>
            <w:tcW w:w="900" w:type="dxa"/>
            <w:tcBorders>
              <w:top w:val="nil"/>
              <w:left w:val="nil"/>
              <w:bottom w:val="single" w:sz="4" w:space="0" w:color="auto"/>
              <w:right w:val="single" w:sz="4" w:space="0" w:color="auto"/>
            </w:tcBorders>
            <w:shd w:val="clear" w:color="auto" w:fill="auto"/>
            <w:noWrap/>
            <w:vAlign w:val="center"/>
            <w:hideMark/>
          </w:tcPr>
          <w:p w14:paraId="0E43B53A"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340</w:t>
            </w:r>
          </w:p>
        </w:tc>
        <w:tc>
          <w:tcPr>
            <w:tcW w:w="900" w:type="dxa"/>
            <w:tcBorders>
              <w:top w:val="nil"/>
              <w:left w:val="nil"/>
              <w:bottom w:val="single" w:sz="4" w:space="0" w:color="auto"/>
              <w:right w:val="single" w:sz="12" w:space="0" w:color="auto"/>
            </w:tcBorders>
            <w:shd w:val="clear" w:color="auto" w:fill="auto"/>
            <w:noWrap/>
            <w:vAlign w:val="center"/>
            <w:hideMark/>
          </w:tcPr>
          <w:p w14:paraId="568C313C"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45</w:t>
            </w:r>
          </w:p>
        </w:tc>
      </w:tr>
      <w:tr w:rsidR="00346E7C" w:rsidRPr="00346E7C" w14:paraId="3079FE8D"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33F2EABD"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092436F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w:t>
            </w:r>
          </w:p>
        </w:tc>
        <w:tc>
          <w:tcPr>
            <w:tcW w:w="868" w:type="dxa"/>
            <w:tcBorders>
              <w:top w:val="nil"/>
              <w:left w:val="nil"/>
              <w:bottom w:val="single" w:sz="4" w:space="0" w:color="auto"/>
              <w:right w:val="single" w:sz="4" w:space="0" w:color="auto"/>
            </w:tcBorders>
            <w:shd w:val="clear" w:color="auto" w:fill="auto"/>
            <w:noWrap/>
            <w:vAlign w:val="center"/>
            <w:hideMark/>
          </w:tcPr>
          <w:p w14:paraId="4D5D878F"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18264D0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375</w:t>
            </w:r>
          </w:p>
        </w:tc>
        <w:tc>
          <w:tcPr>
            <w:tcW w:w="900" w:type="dxa"/>
            <w:tcBorders>
              <w:top w:val="nil"/>
              <w:left w:val="nil"/>
              <w:bottom w:val="single" w:sz="4" w:space="0" w:color="auto"/>
              <w:right w:val="single" w:sz="4" w:space="0" w:color="auto"/>
            </w:tcBorders>
            <w:shd w:val="clear" w:color="auto" w:fill="auto"/>
            <w:noWrap/>
            <w:vAlign w:val="center"/>
            <w:hideMark/>
          </w:tcPr>
          <w:p w14:paraId="10658B04"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345</w:t>
            </w:r>
          </w:p>
        </w:tc>
        <w:tc>
          <w:tcPr>
            <w:tcW w:w="900" w:type="dxa"/>
            <w:tcBorders>
              <w:top w:val="nil"/>
              <w:left w:val="nil"/>
              <w:bottom w:val="single" w:sz="4" w:space="0" w:color="auto"/>
              <w:right w:val="single" w:sz="4" w:space="0" w:color="auto"/>
            </w:tcBorders>
            <w:shd w:val="clear" w:color="auto" w:fill="auto"/>
            <w:noWrap/>
            <w:vAlign w:val="center"/>
            <w:hideMark/>
          </w:tcPr>
          <w:p w14:paraId="2292D5E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325</w:t>
            </w:r>
          </w:p>
        </w:tc>
        <w:tc>
          <w:tcPr>
            <w:tcW w:w="900" w:type="dxa"/>
            <w:tcBorders>
              <w:top w:val="nil"/>
              <w:left w:val="nil"/>
              <w:bottom w:val="single" w:sz="4" w:space="0" w:color="auto"/>
              <w:right w:val="single" w:sz="4" w:space="0" w:color="auto"/>
            </w:tcBorders>
            <w:shd w:val="clear" w:color="auto" w:fill="auto"/>
            <w:noWrap/>
            <w:vAlign w:val="center"/>
            <w:hideMark/>
          </w:tcPr>
          <w:p w14:paraId="762489E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415</w:t>
            </w:r>
          </w:p>
        </w:tc>
        <w:tc>
          <w:tcPr>
            <w:tcW w:w="900" w:type="dxa"/>
            <w:tcBorders>
              <w:top w:val="nil"/>
              <w:left w:val="nil"/>
              <w:bottom w:val="single" w:sz="4" w:space="0" w:color="auto"/>
              <w:right w:val="single" w:sz="4" w:space="0" w:color="auto"/>
            </w:tcBorders>
            <w:shd w:val="clear" w:color="auto" w:fill="auto"/>
            <w:noWrap/>
            <w:vAlign w:val="center"/>
            <w:hideMark/>
          </w:tcPr>
          <w:p w14:paraId="72CC643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355</w:t>
            </w:r>
          </w:p>
        </w:tc>
        <w:tc>
          <w:tcPr>
            <w:tcW w:w="900" w:type="dxa"/>
            <w:tcBorders>
              <w:top w:val="nil"/>
              <w:left w:val="nil"/>
              <w:bottom w:val="single" w:sz="4" w:space="0" w:color="auto"/>
              <w:right w:val="single" w:sz="4" w:space="0" w:color="auto"/>
            </w:tcBorders>
            <w:shd w:val="clear" w:color="auto" w:fill="auto"/>
            <w:noWrap/>
            <w:vAlign w:val="center"/>
            <w:hideMark/>
          </w:tcPr>
          <w:p w14:paraId="262CD25E"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360</w:t>
            </w:r>
          </w:p>
        </w:tc>
        <w:tc>
          <w:tcPr>
            <w:tcW w:w="900" w:type="dxa"/>
            <w:tcBorders>
              <w:top w:val="nil"/>
              <w:left w:val="nil"/>
              <w:bottom w:val="single" w:sz="4" w:space="0" w:color="auto"/>
              <w:right w:val="single" w:sz="12" w:space="0" w:color="auto"/>
            </w:tcBorders>
            <w:shd w:val="clear" w:color="auto" w:fill="auto"/>
            <w:noWrap/>
            <w:vAlign w:val="center"/>
            <w:hideMark/>
          </w:tcPr>
          <w:p w14:paraId="208F31E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90</w:t>
            </w:r>
          </w:p>
        </w:tc>
      </w:tr>
      <w:tr w:rsidR="00346E7C" w:rsidRPr="00346E7C" w14:paraId="1A09A792" w14:textId="77777777" w:rsidTr="00346E7C">
        <w:trPr>
          <w:trHeight w:val="315"/>
          <w:jc w:val="center"/>
        </w:trPr>
        <w:tc>
          <w:tcPr>
            <w:tcW w:w="1403" w:type="dxa"/>
            <w:vMerge/>
            <w:tcBorders>
              <w:top w:val="nil"/>
              <w:left w:val="single" w:sz="12" w:space="0" w:color="auto"/>
              <w:bottom w:val="single" w:sz="4" w:space="0" w:color="auto"/>
              <w:right w:val="single" w:sz="4" w:space="0" w:color="auto"/>
            </w:tcBorders>
            <w:vAlign w:val="center"/>
            <w:hideMark/>
          </w:tcPr>
          <w:p w14:paraId="53273153"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4" w:space="0" w:color="auto"/>
              <w:right w:val="single" w:sz="4" w:space="0" w:color="auto"/>
            </w:tcBorders>
            <w:shd w:val="clear" w:color="auto" w:fill="auto"/>
            <w:noWrap/>
            <w:vAlign w:val="center"/>
            <w:hideMark/>
          </w:tcPr>
          <w:p w14:paraId="219C2FA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7</w:t>
            </w:r>
          </w:p>
        </w:tc>
        <w:tc>
          <w:tcPr>
            <w:tcW w:w="868" w:type="dxa"/>
            <w:tcBorders>
              <w:top w:val="nil"/>
              <w:left w:val="nil"/>
              <w:bottom w:val="single" w:sz="4" w:space="0" w:color="auto"/>
              <w:right w:val="single" w:sz="4" w:space="0" w:color="auto"/>
            </w:tcBorders>
            <w:shd w:val="clear" w:color="auto" w:fill="auto"/>
            <w:noWrap/>
            <w:vAlign w:val="center"/>
            <w:hideMark/>
          </w:tcPr>
          <w:p w14:paraId="7FDC956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415</w:t>
            </w:r>
          </w:p>
        </w:tc>
        <w:tc>
          <w:tcPr>
            <w:tcW w:w="900" w:type="dxa"/>
            <w:tcBorders>
              <w:top w:val="nil"/>
              <w:left w:val="nil"/>
              <w:bottom w:val="single" w:sz="4" w:space="0" w:color="auto"/>
              <w:right w:val="single" w:sz="4" w:space="0" w:color="auto"/>
            </w:tcBorders>
            <w:shd w:val="clear" w:color="auto" w:fill="auto"/>
            <w:noWrap/>
            <w:vAlign w:val="center"/>
            <w:hideMark/>
          </w:tcPr>
          <w:p w14:paraId="4C5C365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375</w:t>
            </w:r>
          </w:p>
        </w:tc>
        <w:tc>
          <w:tcPr>
            <w:tcW w:w="900" w:type="dxa"/>
            <w:tcBorders>
              <w:top w:val="nil"/>
              <w:left w:val="nil"/>
              <w:bottom w:val="single" w:sz="4" w:space="0" w:color="auto"/>
              <w:right w:val="single" w:sz="4" w:space="0" w:color="auto"/>
            </w:tcBorders>
            <w:shd w:val="clear" w:color="auto" w:fill="auto"/>
            <w:noWrap/>
            <w:vAlign w:val="center"/>
            <w:hideMark/>
          </w:tcPr>
          <w:p w14:paraId="089D316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365</w:t>
            </w:r>
          </w:p>
        </w:tc>
        <w:tc>
          <w:tcPr>
            <w:tcW w:w="900" w:type="dxa"/>
            <w:tcBorders>
              <w:top w:val="nil"/>
              <w:left w:val="nil"/>
              <w:bottom w:val="single" w:sz="4" w:space="0" w:color="auto"/>
              <w:right w:val="single" w:sz="4" w:space="0" w:color="auto"/>
            </w:tcBorders>
            <w:shd w:val="clear" w:color="auto" w:fill="auto"/>
            <w:noWrap/>
            <w:vAlign w:val="center"/>
            <w:hideMark/>
          </w:tcPr>
          <w:p w14:paraId="117DCE36"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385</w:t>
            </w:r>
          </w:p>
        </w:tc>
        <w:tc>
          <w:tcPr>
            <w:tcW w:w="900" w:type="dxa"/>
            <w:tcBorders>
              <w:top w:val="nil"/>
              <w:left w:val="nil"/>
              <w:bottom w:val="single" w:sz="4" w:space="0" w:color="auto"/>
              <w:right w:val="single" w:sz="4" w:space="0" w:color="auto"/>
            </w:tcBorders>
            <w:shd w:val="clear" w:color="auto" w:fill="auto"/>
            <w:noWrap/>
            <w:vAlign w:val="center"/>
            <w:hideMark/>
          </w:tcPr>
          <w:p w14:paraId="225C9628"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380</w:t>
            </w:r>
          </w:p>
        </w:tc>
        <w:tc>
          <w:tcPr>
            <w:tcW w:w="900" w:type="dxa"/>
            <w:tcBorders>
              <w:top w:val="nil"/>
              <w:left w:val="nil"/>
              <w:bottom w:val="single" w:sz="4" w:space="0" w:color="auto"/>
              <w:right w:val="single" w:sz="4" w:space="0" w:color="auto"/>
            </w:tcBorders>
            <w:shd w:val="clear" w:color="auto" w:fill="auto"/>
            <w:noWrap/>
            <w:vAlign w:val="center"/>
            <w:hideMark/>
          </w:tcPr>
          <w:p w14:paraId="54F93A4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335</w:t>
            </w:r>
          </w:p>
        </w:tc>
        <w:tc>
          <w:tcPr>
            <w:tcW w:w="900" w:type="dxa"/>
            <w:tcBorders>
              <w:top w:val="nil"/>
              <w:left w:val="nil"/>
              <w:bottom w:val="single" w:sz="4" w:space="0" w:color="auto"/>
              <w:right w:val="single" w:sz="4" w:space="0" w:color="auto"/>
            </w:tcBorders>
            <w:shd w:val="clear" w:color="auto" w:fill="auto"/>
            <w:noWrap/>
            <w:vAlign w:val="center"/>
            <w:hideMark/>
          </w:tcPr>
          <w:p w14:paraId="783D5CAD"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376</w:t>
            </w:r>
          </w:p>
        </w:tc>
        <w:tc>
          <w:tcPr>
            <w:tcW w:w="900" w:type="dxa"/>
            <w:tcBorders>
              <w:top w:val="nil"/>
              <w:left w:val="nil"/>
              <w:bottom w:val="single" w:sz="4" w:space="0" w:color="auto"/>
              <w:right w:val="single" w:sz="12" w:space="0" w:color="auto"/>
            </w:tcBorders>
            <w:shd w:val="clear" w:color="auto" w:fill="auto"/>
            <w:noWrap/>
            <w:vAlign w:val="center"/>
            <w:hideMark/>
          </w:tcPr>
          <w:p w14:paraId="6519637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80</w:t>
            </w:r>
          </w:p>
        </w:tc>
      </w:tr>
      <w:tr w:rsidR="00346E7C" w:rsidRPr="00346E7C" w14:paraId="5E024A18" w14:textId="77777777" w:rsidTr="00B03F86">
        <w:trPr>
          <w:trHeight w:val="315"/>
          <w:jc w:val="center"/>
        </w:trPr>
        <w:tc>
          <w:tcPr>
            <w:tcW w:w="1403" w:type="dxa"/>
            <w:vMerge/>
            <w:tcBorders>
              <w:top w:val="nil"/>
              <w:left w:val="single" w:sz="12" w:space="0" w:color="auto"/>
              <w:bottom w:val="single" w:sz="12" w:space="0" w:color="auto"/>
              <w:right w:val="single" w:sz="4" w:space="0" w:color="auto"/>
            </w:tcBorders>
            <w:vAlign w:val="center"/>
            <w:hideMark/>
          </w:tcPr>
          <w:p w14:paraId="7F6E4F9F" w14:textId="77777777" w:rsidR="00346E7C" w:rsidRPr="00346E7C" w:rsidRDefault="00346E7C" w:rsidP="00346E7C">
            <w:pPr>
              <w:contextualSpacing w:val="0"/>
              <w:rPr>
                <w:rFonts w:eastAsia="Times New Roman" w:cs="Times New Roman"/>
                <w:color w:val="000000"/>
                <w:szCs w:val="24"/>
              </w:rPr>
            </w:pPr>
          </w:p>
        </w:tc>
        <w:tc>
          <w:tcPr>
            <w:tcW w:w="1112" w:type="dxa"/>
            <w:tcBorders>
              <w:top w:val="nil"/>
              <w:left w:val="nil"/>
              <w:bottom w:val="single" w:sz="12" w:space="0" w:color="auto"/>
              <w:right w:val="single" w:sz="4" w:space="0" w:color="auto"/>
            </w:tcBorders>
            <w:shd w:val="clear" w:color="auto" w:fill="auto"/>
            <w:noWrap/>
            <w:vAlign w:val="center"/>
            <w:hideMark/>
          </w:tcPr>
          <w:p w14:paraId="45F180D2"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14</w:t>
            </w:r>
          </w:p>
        </w:tc>
        <w:tc>
          <w:tcPr>
            <w:tcW w:w="868" w:type="dxa"/>
            <w:tcBorders>
              <w:top w:val="nil"/>
              <w:left w:val="nil"/>
              <w:bottom w:val="single" w:sz="12" w:space="0" w:color="auto"/>
              <w:right w:val="single" w:sz="4" w:space="0" w:color="auto"/>
            </w:tcBorders>
            <w:shd w:val="clear" w:color="auto" w:fill="auto"/>
            <w:noWrap/>
            <w:vAlign w:val="center"/>
            <w:hideMark/>
          </w:tcPr>
          <w:p w14:paraId="5CE7CE1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400</w:t>
            </w:r>
          </w:p>
        </w:tc>
        <w:tc>
          <w:tcPr>
            <w:tcW w:w="900" w:type="dxa"/>
            <w:tcBorders>
              <w:top w:val="nil"/>
              <w:left w:val="nil"/>
              <w:bottom w:val="single" w:sz="12" w:space="0" w:color="auto"/>
              <w:right w:val="single" w:sz="4" w:space="0" w:color="auto"/>
            </w:tcBorders>
            <w:shd w:val="clear" w:color="auto" w:fill="auto"/>
            <w:noWrap/>
            <w:vAlign w:val="center"/>
            <w:hideMark/>
          </w:tcPr>
          <w:p w14:paraId="43D9D4A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400</w:t>
            </w:r>
          </w:p>
        </w:tc>
        <w:tc>
          <w:tcPr>
            <w:tcW w:w="900" w:type="dxa"/>
            <w:tcBorders>
              <w:top w:val="nil"/>
              <w:left w:val="nil"/>
              <w:bottom w:val="single" w:sz="12" w:space="0" w:color="auto"/>
              <w:right w:val="single" w:sz="4" w:space="0" w:color="auto"/>
            </w:tcBorders>
            <w:shd w:val="clear" w:color="auto" w:fill="auto"/>
            <w:noWrap/>
            <w:vAlign w:val="center"/>
            <w:hideMark/>
          </w:tcPr>
          <w:p w14:paraId="16BF8FB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400</w:t>
            </w:r>
          </w:p>
        </w:tc>
        <w:tc>
          <w:tcPr>
            <w:tcW w:w="900" w:type="dxa"/>
            <w:tcBorders>
              <w:top w:val="nil"/>
              <w:left w:val="nil"/>
              <w:bottom w:val="single" w:sz="12" w:space="0" w:color="auto"/>
              <w:right w:val="single" w:sz="4" w:space="0" w:color="auto"/>
            </w:tcBorders>
            <w:shd w:val="clear" w:color="auto" w:fill="auto"/>
            <w:noWrap/>
            <w:vAlign w:val="center"/>
            <w:hideMark/>
          </w:tcPr>
          <w:p w14:paraId="4DF8334B"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415</w:t>
            </w:r>
          </w:p>
        </w:tc>
        <w:tc>
          <w:tcPr>
            <w:tcW w:w="900" w:type="dxa"/>
            <w:tcBorders>
              <w:top w:val="nil"/>
              <w:left w:val="nil"/>
              <w:bottom w:val="single" w:sz="12" w:space="0" w:color="auto"/>
              <w:right w:val="single" w:sz="4" w:space="0" w:color="auto"/>
            </w:tcBorders>
            <w:shd w:val="clear" w:color="auto" w:fill="auto"/>
            <w:noWrap/>
            <w:vAlign w:val="center"/>
            <w:hideMark/>
          </w:tcPr>
          <w:p w14:paraId="45D4B4B7"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390</w:t>
            </w:r>
          </w:p>
        </w:tc>
        <w:tc>
          <w:tcPr>
            <w:tcW w:w="900" w:type="dxa"/>
            <w:tcBorders>
              <w:top w:val="nil"/>
              <w:left w:val="nil"/>
              <w:bottom w:val="single" w:sz="12" w:space="0" w:color="auto"/>
              <w:right w:val="single" w:sz="4" w:space="0" w:color="auto"/>
            </w:tcBorders>
            <w:shd w:val="clear" w:color="auto" w:fill="auto"/>
            <w:noWrap/>
            <w:vAlign w:val="center"/>
            <w:hideMark/>
          </w:tcPr>
          <w:p w14:paraId="0C259C9C"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390</w:t>
            </w:r>
          </w:p>
        </w:tc>
        <w:tc>
          <w:tcPr>
            <w:tcW w:w="900" w:type="dxa"/>
            <w:tcBorders>
              <w:top w:val="nil"/>
              <w:left w:val="nil"/>
              <w:bottom w:val="single" w:sz="12" w:space="0" w:color="auto"/>
              <w:right w:val="single" w:sz="4" w:space="0" w:color="auto"/>
            </w:tcBorders>
            <w:shd w:val="clear" w:color="auto" w:fill="auto"/>
            <w:noWrap/>
            <w:vAlign w:val="center"/>
            <w:hideMark/>
          </w:tcPr>
          <w:p w14:paraId="19F5D521"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399</w:t>
            </w:r>
          </w:p>
        </w:tc>
        <w:tc>
          <w:tcPr>
            <w:tcW w:w="900" w:type="dxa"/>
            <w:tcBorders>
              <w:top w:val="nil"/>
              <w:left w:val="nil"/>
              <w:bottom w:val="single" w:sz="12" w:space="0" w:color="auto"/>
              <w:right w:val="single" w:sz="12" w:space="0" w:color="auto"/>
            </w:tcBorders>
            <w:shd w:val="clear" w:color="auto" w:fill="auto"/>
            <w:noWrap/>
            <w:vAlign w:val="center"/>
            <w:hideMark/>
          </w:tcPr>
          <w:p w14:paraId="06FE1F45" w14:textId="77777777" w:rsidR="00346E7C" w:rsidRPr="00346E7C" w:rsidRDefault="00346E7C" w:rsidP="00346E7C">
            <w:pPr>
              <w:contextualSpacing w:val="0"/>
              <w:jc w:val="center"/>
              <w:rPr>
                <w:rFonts w:eastAsia="Times New Roman" w:cs="Times New Roman"/>
                <w:color w:val="000000"/>
                <w:szCs w:val="24"/>
              </w:rPr>
            </w:pPr>
            <w:r w:rsidRPr="00346E7C">
              <w:rPr>
                <w:rFonts w:eastAsia="Times New Roman" w:cs="Times New Roman"/>
                <w:color w:val="000000"/>
                <w:szCs w:val="24"/>
              </w:rPr>
              <w:t>25</w:t>
            </w:r>
          </w:p>
        </w:tc>
      </w:tr>
    </w:tbl>
    <w:p w14:paraId="12D037F7" w14:textId="58FFB5CD" w:rsidR="00346E7C" w:rsidRDefault="00346E7C" w:rsidP="0057047F"/>
    <w:p w14:paraId="64EE66B7" w14:textId="6B226F90" w:rsidR="00346E7C" w:rsidRDefault="00346E7C" w:rsidP="00346E7C">
      <w:pPr>
        <w:pStyle w:val="Heading1"/>
      </w:pPr>
      <w:r>
        <w:lastRenderedPageBreak/>
        <w:t>Quality of Results</w:t>
      </w:r>
    </w:p>
    <w:p w14:paraId="231EE6D8" w14:textId="738AA5F0" w:rsidR="00346E7C" w:rsidRDefault="00346E7C" w:rsidP="00346E7C"/>
    <w:p w14:paraId="0736F6C2" w14:textId="73D1442F" w:rsidR="00A4737A" w:rsidRDefault="00346E7C" w:rsidP="00A4737A">
      <w:r>
        <w:tab/>
      </w:r>
      <w:r w:rsidR="00A12C2D">
        <w:t>Tables 6, 7</w:t>
      </w:r>
      <w:r w:rsidR="00524290">
        <w:t>,</w:t>
      </w:r>
      <w:r w:rsidR="00A12C2D">
        <w:t xml:space="preserve"> and 8 show the comparison of actual and allowable ranges for each hardened state test. The allowable ranges were calculated </w:t>
      </w:r>
      <w:r w:rsidR="00524290">
        <w:t>via</w:t>
      </w:r>
      <w:r w:rsidR="00A12C2D">
        <w:t xml:space="preserve"> </w:t>
      </w:r>
      <w:r w:rsidR="00524290">
        <w:t xml:space="preserve">multiplying the mean result of each batch by a factor </w:t>
      </w:r>
      <w:r w:rsidR="00804D9D">
        <w:t xml:space="preserve">for maximum acceptable range </w:t>
      </w:r>
      <w:r w:rsidR="00524290">
        <w:t xml:space="preserve">from ASTM C670 </w:t>
      </w:r>
      <w:r w:rsidR="00804D9D">
        <w:t>that depends on the number of test results</w:t>
      </w:r>
      <w:r w:rsidR="00B441CB">
        <w:t>,</w:t>
      </w:r>
      <w:r w:rsidR="00804D9D">
        <w:t xml:space="preserve"> as well as a coefficient of variation factor</w:t>
      </w:r>
      <w:r w:rsidR="00094763">
        <w:t xml:space="preserve"> (COV)</w:t>
      </w:r>
      <w:r w:rsidR="00804D9D">
        <w:t xml:space="preserve"> from each test’s individual test method criteria</w:t>
      </w:r>
      <w:r w:rsidR="00DB36FE">
        <w:t xml:space="preserve"> (13)</w:t>
      </w:r>
      <w:r w:rsidR="00804D9D">
        <w:t>.</w:t>
      </w:r>
      <w:r w:rsidR="00A4737A">
        <w:t xml:space="preserve"> </w:t>
      </w:r>
      <w:r w:rsidR="00094763">
        <w:t xml:space="preserve">Note that the </w:t>
      </w:r>
      <w:r w:rsidR="00D12049">
        <w:t>test method</w:t>
      </w:r>
      <w:r w:rsidR="00094763">
        <w:t xml:space="preserve"> for split tensile strength, ASTM C496, does not include a COV factor for four-inch by eight-inch cylinders, however it does recommend a factor for six-inch by twelve-inch cylinders</w:t>
      </w:r>
      <w:r w:rsidR="00DB36FE">
        <w:t xml:space="preserve"> (12)</w:t>
      </w:r>
      <w:r w:rsidR="00094763">
        <w:t xml:space="preserve">. This recommended factor was used in this quality analysis in order to provide a means of check on </w:t>
      </w:r>
      <w:r w:rsidR="00E80A43">
        <w:t>the ranges of the split tensile results.</w:t>
      </w:r>
    </w:p>
    <w:p w14:paraId="16D9DAFD" w14:textId="3EB2CF89" w:rsidR="00E80A43" w:rsidRDefault="00E80A43" w:rsidP="00A4737A"/>
    <w:p w14:paraId="6CD09A60" w14:textId="3ACD6B40" w:rsidR="00E80A43" w:rsidRDefault="00E80A43" w:rsidP="00A4737A">
      <w:r>
        <w:tab/>
        <w:t xml:space="preserve">The red shaded </w:t>
      </w:r>
      <w:r w:rsidR="00D11BFA">
        <w:t>cells</w:t>
      </w:r>
      <w:r>
        <w:t xml:space="preserve"> in Tables 6, 7, and 8 represent instances when the range </w:t>
      </w:r>
      <w:r w:rsidR="00110B3C">
        <w:t xml:space="preserve">obtained </w:t>
      </w:r>
      <w:r>
        <w:t>exceeded the allowable range. Green shaded cells represent instances when the range</w:t>
      </w:r>
      <w:r w:rsidR="00DF4EEF">
        <w:t xml:space="preserve"> obtained</w:t>
      </w:r>
      <w:r>
        <w:t xml:space="preserve"> was lower than the upper limit set by the allowable range.</w:t>
      </w:r>
    </w:p>
    <w:p w14:paraId="538BA48E" w14:textId="2F34B953" w:rsidR="00E80A43" w:rsidRDefault="00E80A43" w:rsidP="00A4737A"/>
    <w:p w14:paraId="14B6618C" w14:textId="0B1927F4" w:rsidR="00E80A43" w:rsidRDefault="00E80A43" w:rsidP="00E80A43">
      <w:pPr>
        <w:jc w:val="center"/>
      </w:pPr>
      <w:r w:rsidRPr="00E80A43">
        <w:rPr>
          <w:b/>
        </w:rPr>
        <w:t>Table 6.</w:t>
      </w:r>
      <w:r>
        <w:t xml:space="preserve"> Comparison of All Mixture’s SR Ranges to Allowable Ranges</w:t>
      </w:r>
    </w:p>
    <w:p w14:paraId="5F1E6BE5" w14:textId="2D1E0922" w:rsidR="00E80A43" w:rsidRDefault="00E80A43" w:rsidP="00E80A43">
      <w:pPr>
        <w:jc w:val="center"/>
      </w:pPr>
    </w:p>
    <w:tbl>
      <w:tblPr>
        <w:tblW w:w="10240" w:type="dxa"/>
        <w:jc w:val="center"/>
        <w:tblLook w:val="04A0" w:firstRow="1" w:lastRow="0" w:firstColumn="1" w:lastColumn="0" w:noHBand="0" w:noVBand="1"/>
      </w:tblPr>
      <w:tblGrid>
        <w:gridCol w:w="1080"/>
        <w:gridCol w:w="1360"/>
        <w:gridCol w:w="1700"/>
        <w:gridCol w:w="1360"/>
        <w:gridCol w:w="1700"/>
        <w:gridCol w:w="1360"/>
        <w:gridCol w:w="1680"/>
      </w:tblGrid>
      <w:tr w:rsidR="00E80A43" w:rsidRPr="00E80A43" w14:paraId="063C0050" w14:textId="77777777" w:rsidTr="00E80A43">
        <w:trPr>
          <w:trHeight w:val="315"/>
          <w:jc w:val="center"/>
        </w:trPr>
        <w:tc>
          <w:tcPr>
            <w:tcW w:w="108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B4E80D0"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Curing Age (days)</w:t>
            </w:r>
          </w:p>
        </w:tc>
        <w:tc>
          <w:tcPr>
            <w:tcW w:w="30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7DB06E6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Commercial 3500</w:t>
            </w:r>
          </w:p>
        </w:tc>
        <w:tc>
          <w:tcPr>
            <w:tcW w:w="30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748819CA"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Commercial ACI</w:t>
            </w:r>
          </w:p>
        </w:tc>
        <w:tc>
          <w:tcPr>
            <w:tcW w:w="304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2452596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CRED</w:t>
            </w:r>
          </w:p>
        </w:tc>
      </w:tr>
      <w:tr w:rsidR="00E80A43" w:rsidRPr="00E80A43" w14:paraId="65AFBE1B" w14:textId="77777777" w:rsidTr="00E80A43">
        <w:trPr>
          <w:trHeight w:val="45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14:paraId="46E4AC44" w14:textId="77777777" w:rsidR="00E80A43" w:rsidRPr="00E80A43" w:rsidRDefault="00E80A43" w:rsidP="00E80A43">
            <w:pPr>
              <w:contextualSpacing w:val="0"/>
              <w:rPr>
                <w:rFonts w:eastAsia="Times New Roman" w:cs="Times New Roman"/>
                <w:color w:val="000000"/>
                <w:szCs w:val="24"/>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DB1972D"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(kilohm-cm)</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3101777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(kilohm-cm)</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050A2BD"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(kilohm-cm)</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5080015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(kilohm-cm)</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9BFD71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(kilohm-cm)</w:t>
            </w:r>
          </w:p>
        </w:tc>
        <w:tc>
          <w:tcPr>
            <w:tcW w:w="1680" w:type="dxa"/>
            <w:vMerge w:val="restart"/>
            <w:tcBorders>
              <w:top w:val="nil"/>
              <w:left w:val="single" w:sz="4" w:space="0" w:color="auto"/>
              <w:bottom w:val="single" w:sz="4" w:space="0" w:color="auto"/>
              <w:right w:val="single" w:sz="12" w:space="0" w:color="auto"/>
            </w:tcBorders>
            <w:shd w:val="clear" w:color="auto" w:fill="auto"/>
            <w:vAlign w:val="center"/>
            <w:hideMark/>
          </w:tcPr>
          <w:p w14:paraId="2FAB9CE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(kilohm-cm)</w:t>
            </w:r>
          </w:p>
        </w:tc>
      </w:tr>
      <w:tr w:rsidR="00E80A43" w:rsidRPr="00E80A43" w14:paraId="7BE3ECE3" w14:textId="77777777" w:rsidTr="00E80A43">
        <w:trPr>
          <w:trHeight w:val="45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14:paraId="221D10BD"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5017F0F6" w14:textId="77777777" w:rsidR="00E80A43" w:rsidRPr="00E80A43" w:rsidRDefault="00E80A43" w:rsidP="00E80A43">
            <w:pPr>
              <w:contextualSpacing w:val="0"/>
              <w:rPr>
                <w:rFonts w:eastAsia="Times New Roman" w:cs="Times New Roman"/>
                <w:color w:val="000000"/>
                <w:szCs w:val="24"/>
              </w:rPr>
            </w:pPr>
          </w:p>
        </w:tc>
        <w:tc>
          <w:tcPr>
            <w:tcW w:w="1700" w:type="dxa"/>
            <w:vMerge/>
            <w:tcBorders>
              <w:top w:val="nil"/>
              <w:left w:val="single" w:sz="4" w:space="0" w:color="auto"/>
              <w:bottom w:val="single" w:sz="4" w:space="0" w:color="auto"/>
              <w:right w:val="single" w:sz="4" w:space="0" w:color="auto"/>
            </w:tcBorders>
            <w:vAlign w:val="center"/>
            <w:hideMark/>
          </w:tcPr>
          <w:p w14:paraId="4183E017"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7B389A35" w14:textId="77777777" w:rsidR="00E80A43" w:rsidRPr="00E80A43" w:rsidRDefault="00E80A43" w:rsidP="00E80A43">
            <w:pPr>
              <w:contextualSpacing w:val="0"/>
              <w:rPr>
                <w:rFonts w:eastAsia="Times New Roman" w:cs="Times New Roman"/>
                <w:color w:val="000000"/>
                <w:szCs w:val="24"/>
              </w:rPr>
            </w:pPr>
          </w:p>
        </w:tc>
        <w:tc>
          <w:tcPr>
            <w:tcW w:w="1700" w:type="dxa"/>
            <w:vMerge/>
            <w:tcBorders>
              <w:top w:val="nil"/>
              <w:left w:val="single" w:sz="4" w:space="0" w:color="auto"/>
              <w:bottom w:val="single" w:sz="4" w:space="0" w:color="auto"/>
              <w:right w:val="single" w:sz="4" w:space="0" w:color="auto"/>
            </w:tcBorders>
            <w:vAlign w:val="center"/>
            <w:hideMark/>
          </w:tcPr>
          <w:p w14:paraId="4580EAE0"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7DBF6485" w14:textId="77777777" w:rsidR="00E80A43" w:rsidRPr="00E80A43" w:rsidRDefault="00E80A43" w:rsidP="00E80A43">
            <w:pPr>
              <w:contextualSpacing w:val="0"/>
              <w:rPr>
                <w:rFonts w:eastAsia="Times New Roman" w:cs="Times New Roman"/>
                <w:color w:val="000000"/>
                <w:szCs w:val="24"/>
              </w:rPr>
            </w:pPr>
          </w:p>
        </w:tc>
        <w:tc>
          <w:tcPr>
            <w:tcW w:w="1680" w:type="dxa"/>
            <w:vMerge/>
            <w:tcBorders>
              <w:top w:val="nil"/>
              <w:left w:val="single" w:sz="4" w:space="0" w:color="auto"/>
              <w:bottom w:val="single" w:sz="4" w:space="0" w:color="auto"/>
              <w:right w:val="single" w:sz="12" w:space="0" w:color="auto"/>
            </w:tcBorders>
            <w:vAlign w:val="center"/>
            <w:hideMark/>
          </w:tcPr>
          <w:p w14:paraId="328037A8" w14:textId="77777777" w:rsidR="00E80A43" w:rsidRPr="00E80A43" w:rsidRDefault="00E80A43" w:rsidP="00E80A43">
            <w:pPr>
              <w:contextualSpacing w:val="0"/>
              <w:rPr>
                <w:rFonts w:eastAsia="Times New Roman" w:cs="Times New Roman"/>
                <w:color w:val="000000"/>
                <w:szCs w:val="24"/>
              </w:rPr>
            </w:pPr>
          </w:p>
        </w:tc>
      </w:tr>
      <w:tr w:rsidR="00E80A43" w:rsidRPr="00E80A43" w14:paraId="7A7F857E" w14:textId="77777777" w:rsidTr="00E80A43">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7203BDE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0</w:t>
            </w:r>
          </w:p>
        </w:tc>
        <w:tc>
          <w:tcPr>
            <w:tcW w:w="1360" w:type="dxa"/>
            <w:tcBorders>
              <w:top w:val="nil"/>
              <w:left w:val="nil"/>
              <w:bottom w:val="single" w:sz="4" w:space="0" w:color="auto"/>
              <w:right w:val="single" w:sz="4" w:space="0" w:color="auto"/>
            </w:tcBorders>
            <w:shd w:val="clear" w:color="000000" w:fill="00B050"/>
            <w:noWrap/>
            <w:vAlign w:val="center"/>
            <w:hideMark/>
          </w:tcPr>
          <w:p w14:paraId="1498D6B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w:t>
            </w:r>
          </w:p>
        </w:tc>
        <w:tc>
          <w:tcPr>
            <w:tcW w:w="1700" w:type="dxa"/>
            <w:tcBorders>
              <w:top w:val="nil"/>
              <w:left w:val="nil"/>
              <w:bottom w:val="single" w:sz="4" w:space="0" w:color="auto"/>
              <w:right w:val="single" w:sz="4" w:space="0" w:color="auto"/>
            </w:tcBorders>
            <w:shd w:val="clear" w:color="000000" w:fill="00B050"/>
            <w:noWrap/>
            <w:vAlign w:val="center"/>
            <w:hideMark/>
          </w:tcPr>
          <w:p w14:paraId="467283F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3.3</w:t>
            </w:r>
          </w:p>
        </w:tc>
        <w:tc>
          <w:tcPr>
            <w:tcW w:w="1360" w:type="dxa"/>
            <w:tcBorders>
              <w:top w:val="nil"/>
              <w:left w:val="nil"/>
              <w:bottom w:val="single" w:sz="4" w:space="0" w:color="auto"/>
              <w:right w:val="single" w:sz="4" w:space="0" w:color="auto"/>
            </w:tcBorders>
            <w:shd w:val="clear" w:color="000000" w:fill="00B050"/>
            <w:noWrap/>
            <w:vAlign w:val="center"/>
            <w:hideMark/>
          </w:tcPr>
          <w:p w14:paraId="323EB317"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1.7</w:t>
            </w:r>
          </w:p>
        </w:tc>
        <w:tc>
          <w:tcPr>
            <w:tcW w:w="1700" w:type="dxa"/>
            <w:tcBorders>
              <w:top w:val="nil"/>
              <w:left w:val="nil"/>
              <w:bottom w:val="single" w:sz="4" w:space="0" w:color="auto"/>
              <w:right w:val="single" w:sz="4" w:space="0" w:color="auto"/>
            </w:tcBorders>
            <w:shd w:val="clear" w:color="000000" w:fill="00B050"/>
            <w:noWrap/>
            <w:vAlign w:val="center"/>
            <w:hideMark/>
          </w:tcPr>
          <w:p w14:paraId="2A6950F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4.1</w:t>
            </w:r>
          </w:p>
        </w:tc>
        <w:tc>
          <w:tcPr>
            <w:tcW w:w="1360" w:type="dxa"/>
            <w:tcBorders>
              <w:top w:val="nil"/>
              <w:left w:val="nil"/>
              <w:bottom w:val="single" w:sz="4" w:space="0" w:color="auto"/>
              <w:right w:val="single" w:sz="4" w:space="0" w:color="auto"/>
            </w:tcBorders>
            <w:shd w:val="clear" w:color="000000" w:fill="00B050"/>
            <w:noWrap/>
            <w:vAlign w:val="center"/>
            <w:hideMark/>
          </w:tcPr>
          <w:p w14:paraId="25533AB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0.9</w:t>
            </w:r>
          </w:p>
        </w:tc>
        <w:tc>
          <w:tcPr>
            <w:tcW w:w="1680" w:type="dxa"/>
            <w:tcBorders>
              <w:top w:val="nil"/>
              <w:left w:val="nil"/>
              <w:bottom w:val="single" w:sz="4" w:space="0" w:color="auto"/>
              <w:right w:val="single" w:sz="12" w:space="0" w:color="auto"/>
            </w:tcBorders>
            <w:shd w:val="clear" w:color="000000" w:fill="00B050"/>
            <w:noWrap/>
            <w:vAlign w:val="center"/>
            <w:hideMark/>
          </w:tcPr>
          <w:p w14:paraId="0500606A"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10.1</w:t>
            </w:r>
          </w:p>
        </w:tc>
      </w:tr>
      <w:tr w:rsidR="00E80A43" w:rsidRPr="00E80A43" w14:paraId="3A8F2837" w14:textId="77777777" w:rsidTr="00E80A43">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09311B7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w:t>
            </w:r>
          </w:p>
        </w:tc>
        <w:tc>
          <w:tcPr>
            <w:tcW w:w="1360" w:type="dxa"/>
            <w:tcBorders>
              <w:top w:val="nil"/>
              <w:left w:val="nil"/>
              <w:bottom w:val="single" w:sz="4" w:space="0" w:color="auto"/>
              <w:right w:val="single" w:sz="4" w:space="0" w:color="auto"/>
            </w:tcBorders>
            <w:shd w:val="clear" w:color="000000" w:fill="00B050"/>
            <w:noWrap/>
            <w:vAlign w:val="center"/>
            <w:hideMark/>
          </w:tcPr>
          <w:p w14:paraId="3BF6DB2D"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1.1</w:t>
            </w:r>
          </w:p>
        </w:tc>
        <w:tc>
          <w:tcPr>
            <w:tcW w:w="1700" w:type="dxa"/>
            <w:tcBorders>
              <w:top w:val="nil"/>
              <w:left w:val="nil"/>
              <w:bottom w:val="single" w:sz="4" w:space="0" w:color="auto"/>
              <w:right w:val="single" w:sz="4" w:space="0" w:color="auto"/>
            </w:tcBorders>
            <w:shd w:val="clear" w:color="000000" w:fill="00B050"/>
            <w:noWrap/>
            <w:vAlign w:val="center"/>
            <w:hideMark/>
          </w:tcPr>
          <w:p w14:paraId="0843235E"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3.7</w:t>
            </w:r>
          </w:p>
        </w:tc>
        <w:tc>
          <w:tcPr>
            <w:tcW w:w="1360" w:type="dxa"/>
            <w:tcBorders>
              <w:top w:val="nil"/>
              <w:left w:val="nil"/>
              <w:bottom w:val="single" w:sz="4" w:space="0" w:color="auto"/>
              <w:right w:val="single" w:sz="4" w:space="0" w:color="auto"/>
            </w:tcBorders>
            <w:shd w:val="clear" w:color="000000" w:fill="00B050"/>
            <w:noWrap/>
            <w:vAlign w:val="center"/>
            <w:hideMark/>
          </w:tcPr>
          <w:p w14:paraId="12B094B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1.4</w:t>
            </w:r>
          </w:p>
        </w:tc>
        <w:tc>
          <w:tcPr>
            <w:tcW w:w="1700" w:type="dxa"/>
            <w:tcBorders>
              <w:top w:val="nil"/>
              <w:left w:val="nil"/>
              <w:bottom w:val="single" w:sz="4" w:space="0" w:color="auto"/>
              <w:right w:val="single" w:sz="4" w:space="0" w:color="auto"/>
            </w:tcBorders>
            <w:shd w:val="clear" w:color="000000" w:fill="00B050"/>
            <w:noWrap/>
            <w:vAlign w:val="center"/>
            <w:hideMark/>
          </w:tcPr>
          <w:p w14:paraId="1B45A92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4.1</w:t>
            </w:r>
          </w:p>
        </w:tc>
        <w:tc>
          <w:tcPr>
            <w:tcW w:w="1360" w:type="dxa"/>
            <w:tcBorders>
              <w:top w:val="nil"/>
              <w:left w:val="nil"/>
              <w:bottom w:val="single" w:sz="4" w:space="0" w:color="auto"/>
              <w:right w:val="single" w:sz="4" w:space="0" w:color="auto"/>
            </w:tcBorders>
            <w:shd w:val="clear" w:color="000000" w:fill="00B050"/>
            <w:noWrap/>
            <w:vAlign w:val="center"/>
            <w:hideMark/>
          </w:tcPr>
          <w:p w14:paraId="5A768532"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1.3</w:t>
            </w:r>
          </w:p>
        </w:tc>
        <w:tc>
          <w:tcPr>
            <w:tcW w:w="1680" w:type="dxa"/>
            <w:tcBorders>
              <w:top w:val="nil"/>
              <w:left w:val="nil"/>
              <w:bottom w:val="single" w:sz="4" w:space="0" w:color="auto"/>
              <w:right w:val="single" w:sz="12" w:space="0" w:color="auto"/>
            </w:tcBorders>
            <w:shd w:val="clear" w:color="000000" w:fill="00B050"/>
            <w:noWrap/>
            <w:vAlign w:val="center"/>
            <w:hideMark/>
          </w:tcPr>
          <w:p w14:paraId="0FE0B512"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9.9</w:t>
            </w:r>
          </w:p>
        </w:tc>
      </w:tr>
      <w:tr w:rsidR="00E80A43" w:rsidRPr="00E80A43" w14:paraId="1D300AB5" w14:textId="77777777" w:rsidTr="00E80A43">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2106940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7</w:t>
            </w:r>
          </w:p>
        </w:tc>
        <w:tc>
          <w:tcPr>
            <w:tcW w:w="1360" w:type="dxa"/>
            <w:tcBorders>
              <w:top w:val="nil"/>
              <w:left w:val="nil"/>
              <w:bottom w:val="single" w:sz="4" w:space="0" w:color="auto"/>
              <w:right w:val="single" w:sz="4" w:space="0" w:color="auto"/>
            </w:tcBorders>
            <w:shd w:val="clear" w:color="000000" w:fill="00B050"/>
            <w:noWrap/>
            <w:vAlign w:val="center"/>
            <w:hideMark/>
          </w:tcPr>
          <w:p w14:paraId="146AC14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0.7</w:t>
            </w:r>
          </w:p>
        </w:tc>
        <w:tc>
          <w:tcPr>
            <w:tcW w:w="1700" w:type="dxa"/>
            <w:tcBorders>
              <w:top w:val="nil"/>
              <w:left w:val="nil"/>
              <w:bottom w:val="single" w:sz="4" w:space="0" w:color="auto"/>
              <w:right w:val="single" w:sz="4" w:space="0" w:color="auto"/>
            </w:tcBorders>
            <w:shd w:val="clear" w:color="000000" w:fill="00B050"/>
            <w:noWrap/>
            <w:vAlign w:val="center"/>
            <w:hideMark/>
          </w:tcPr>
          <w:p w14:paraId="5E8521EC"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4.1</w:t>
            </w:r>
          </w:p>
        </w:tc>
        <w:tc>
          <w:tcPr>
            <w:tcW w:w="1360" w:type="dxa"/>
            <w:tcBorders>
              <w:top w:val="nil"/>
              <w:left w:val="nil"/>
              <w:bottom w:val="single" w:sz="4" w:space="0" w:color="auto"/>
              <w:right w:val="single" w:sz="4" w:space="0" w:color="auto"/>
            </w:tcBorders>
            <w:shd w:val="clear" w:color="000000" w:fill="00B050"/>
            <w:noWrap/>
            <w:vAlign w:val="center"/>
            <w:hideMark/>
          </w:tcPr>
          <w:p w14:paraId="34733ADE"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1.5</w:t>
            </w:r>
          </w:p>
        </w:tc>
        <w:tc>
          <w:tcPr>
            <w:tcW w:w="1700" w:type="dxa"/>
            <w:tcBorders>
              <w:top w:val="nil"/>
              <w:left w:val="nil"/>
              <w:bottom w:val="single" w:sz="4" w:space="0" w:color="auto"/>
              <w:right w:val="single" w:sz="4" w:space="0" w:color="auto"/>
            </w:tcBorders>
            <w:shd w:val="clear" w:color="000000" w:fill="00B050"/>
            <w:noWrap/>
            <w:vAlign w:val="center"/>
            <w:hideMark/>
          </w:tcPr>
          <w:p w14:paraId="43A63236"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w:t>
            </w:r>
          </w:p>
        </w:tc>
        <w:tc>
          <w:tcPr>
            <w:tcW w:w="1360" w:type="dxa"/>
            <w:tcBorders>
              <w:top w:val="nil"/>
              <w:left w:val="nil"/>
              <w:bottom w:val="single" w:sz="4" w:space="0" w:color="auto"/>
              <w:right w:val="single" w:sz="4" w:space="0" w:color="auto"/>
            </w:tcBorders>
            <w:shd w:val="clear" w:color="000000" w:fill="00B050"/>
            <w:noWrap/>
            <w:vAlign w:val="center"/>
            <w:hideMark/>
          </w:tcPr>
          <w:p w14:paraId="59E11A1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1.5</w:t>
            </w:r>
          </w:p>
        </w:tc>
        <w:tc>
          <w:tcPr>
            <w:tcW w:w="1680" w:type="dxa"/>
            <w:tcBorders>
              <w:top w:val="nil"/>
              <w:left w:val="nil"/>
              <w:bottom w:val="single" w:sz="4" w:space="0" w:color="auto"/>
              <w:right w:val="single" w:sz="12" w:space="0" w:color="auto"/>
            </w:tcBorders>
            <w:shd w:val="clear" w:color="000000" w:fill="00B050"/>
            <w:noWrap/>
            <w:vAlign w:val="center"/>
            <w:hideMark/>
          </w:tcPr>
          <w:p w14:paraId="2BB36B81"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10.6</w:t>
            </w:r>
          </w:p>
        </w:tc>
      </w:tr>
      <w:tr w:rsidR="00E80A43" w:rsidRPr="00E80A43" w14:paraId="15E35AB8" w14:textId="77777777" w:rsidTr="00B03F86">
        <w:trPr>
          <w:trHeight w:val="315"/>
          <w:jc w:val="center"/>
        </w:trPr>
        <w:tc>
          <w:tcPr>
            <w:tcW w:w="1080" w:type="dxa"/>
            <w:tcBorders>
              <w:top w:val="nil"/>
              <w:left w:val="single" w:sz="12" w:space="0" w:color="auto"/>
              <w:bottom w:val="single" w:sz="12" w:space="0" w:color="auto"/>
              <w:right w:val="single" w:sz="4" w:space="0" w:color="auto"/>
            </w:tcBorders>
            <w:shd w:val="clear" w:color="auto" w:fill="auto"/>
            <w:noWrap/>
            <w:vAlign w:val="center"/>
            <w:hideMark/>
          </w:tcPr>
          <w:p w14:paraId="5717893C"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14</w:t>
            </w:r>
          </w:p>
        </w:tc>
        <w:tc>
          <w:tcPr>
            <w:tcW w:w="1360" w:type="dxa"/>
            <w:tcBorders>
              <w:top w:val="nil"/>
              <w:left w:val="nil"/>
              <w:bottom w:val="single" w:sz="12" w:space="0" w:color="auto"/>
              <w:right w:val="single" w:sz="4" w:space="0" w:color="auto"/>
            </w:tcBorders>
            <w:shd w:val="clear" w:color="000000" w:fill="00B050"/>
            <w:noWrap/>
            <w:vAlign w:val="center"/>
            <w:hideMark/>
          </w:tcPr>
          <w:p w14:paraId="3CF8A79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0.7</w:t>
            </w:r>
          </w:p>
        </w:tc>
        <w:tc>
          <w:tcPr>
            <w:tcW w:w="1700" w:type="dxa"/>
            <w:tcBorders>
              <w:top w:val="nil"/>
              <w:left w:val="nil"/>
              <w:bottom w:val="single" w:sz="12" w:space="0" w:color="auto"/>
              <w:right w:val="single" w:sz="4" w:space="0" w:color="auto"/>
            </w:tcBorders>
            <w:shd w:val="clear" w:color="000000" w:fill="00B050"/>
            <w:noWrap/>
            <w:vAlign w:val="center"/>
            <w:hideMark/>
          </w:tcPr>
          <w:p w14:paraId="2A419802"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4.2</w:t>
            </w:r>
          </w:p>
        </w:tc>
        <w:tc>
          <w:tcPr>
            <w:tcW w:w="1360" w:type="dxa"/>
            <w:tcBorders>
              <w:top w:val="nil"/>
              <w:left w:val="nil"/>
              <w:bottom w:val="single" w:sz="12" w:space="0" w:color="auto"/>
              <w:right w:val="single" w:sz="4" w:space="0" w:color="auto"/>
            </w:tcBorders>
            <w:shd w:val="clear" w:color="000000" w:fill="00B050"/>
            <w:noWrap/>
            <w:vAlign w:val="center"/>
            <w:hideMark/>
          </w:tcPr>
          <w:p w14:paraId="317143E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1.8</w:t>
            </w:r>
          </w:p>
        </w:tc>
        <w:tc>
          <w:tcPr>
            <w:tcW w:w="1700" w:type="dxa"/>
            <w:tcBorders>
              <w:top w:val="nil"/>
              <w:left w:val="nil"/>
              <w:bottom w:val="single" w:sz="12" w:space="0" w:color="auto"/>
              <w:right w:val="single" w:sz="4" w:space="0" w:color="auto"/>
            </w:tcBorders>
            <w:shd w:val="clear" w:color="000000" w:fill="00B050"/>
            <w:noWrap/>
            <w:vAlign w:val="center"/>
            <w:hideMark/>
          </w:tcPr>
          <w:p w14:paraId="6146606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4.3</w:t>
            </w:r>
          </w:p>
        </w:tc>
        <w:tc>
          <w:tcPr>
            <w:tcW w:w="1360" w:type="dxa"/>
            <w:tcBorders>
              <w:top w:val="nil"/>
              <w:left w:val="nil"/>
              <w:bottom w:val="single" w:sz="12" w:space="0" w:color="auto"/>
              <w:right w:val="single" w:sz="4" w:space="0" w:color="auto"/>
            </w:tcBorders>
            <w:shd w:val="clear" w:color="000000" w:fill="00B050"/>
            <w:noWrap/>
            <w:vAlign w:val="center"/>
            <w:hideMark/>
          </w:tcPr>
          <w:p w14:paraId="63EC98A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w:t>
            </w:r>
          </w:p>
        </w:tc>
        <w:tc>
          <w:tcPr>
            <w:tcW w:w="1680" w:type="dxa"/>
            <w:tcBorders>
              <w:top w:val="nil"/>
              <w:left w:val="nil"/>
              <w:bottom w:val="single" w:sz="12" w:space="0" w:color="auto"/>
              <w:right w:val="single" w:sz="12" w:space="0" w:color="auto"/>
            </w:tcBorders>
            <w:shd w:val="clear" w:color="000000" w:fill="00B050"/>
            <w:noWrap/>
            <w:vAlign w:val="center"/>
            <w:hideMark/>
          </w:tcPr>
          <w:p w14:paraId="06A8D440"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11.1</w:t>
            </w:r>
          </w:p>
        </w:tc>
      </w:tr>
    </w:tbl>
    <w:p w14:paraId="74512821" w14:textId="67579082" w:rsidR="00E80A43" w:rsidRDefault="00E80A43" w:rsidP="00E80A43">
      <w:pPr>
        <w:jc w:val="center"/>
      </w:pPr>
    </w:p>
    <w:p w14:paraId="254FABBC" w14:textId="1B402B1D" w:rsidR="00E80A43" w:rsidRDefault="00E80A43" w:rsidP="00E80A43">
      <w:pPr>
        <w:jc w:val="center"/>
      </w:pPr>
      <w:r w:rsidRPr="00E80A43">
        <w:rPr>
          <w:b/>
        </w:rPr>
        <w:t>Table 7.</w:t>
      </w:r>
      <w:r>
        <w:t xml:space="preserve"> Comparison of All Mixture’s Compressive Strength Ranges to Allowable Ranges</w:t>
      </w:r>
    </w:p>
    <w:p w14:paraId="07C2B37B" w14:textId="536C3526" w:rsidR="00E80A43" w:rsidRDefault="00E80A43" w:rsidP="00E80A43">
      <w:pPr>
        <w:jc w:val="center"/>
      </w:pPr>
    </w:p>
    <w:tbl>
      <w:tblPr>
        <w:tblW w:w="8500" w:type="dxa"/>
        <w:jc w:val="center"/>
        <w:tblLook w:val="04A0" w:firstRow="1" w:lastRow="0" w:firstColumn="1" w:lastColumn="0" w:noHBand="0" w:noVBand="1"/>
      </w:tblPr>
      <w:tblGrid>
        <w:gridCol w:w="1180"/>
        <w:gridCol w:w="1080"/>
        <w:gridCol w:w="1360"/>
        <w:gridCol w:w="1080"/>
        <w:gridCol w:w="1360"/>
        <w:gridCol w:w="1080"/>
        <w:gridCol w:w="1360"/>
      </w:tblGrid>
      <w:tr w:rsidR="00E80A43" w:rsidRPr="00E80A43" w14:paraId="22C2DF1C" w14:textId="77777777" w:rsidTr="00E80A43">
        <w:trPr>
          <w:trHeight w:val="315"/>
          <w:jc w:val="center"/>
        </w:trPr>
        <w:tc>
          <w:tcPr>
            <w:tcW w:w="118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1372C70A"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Curing Age (days)</w:t>
            </w:r>
          </w:p>
        </w:tc>
        <w:tc>
          <w:tcPr>
            <w:tcW w:w="244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54A7CFC"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Commercial 3500</w:t>
            </w:r>
          </w:p>
        </w:tc>
        <w:tc>
          <w:tcPr>
            <w:tcW w:w="244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5A9ABCA"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Commercial ACI</w:t>
            </w:r>
          </w:p>
        </w:tc>
        <w:tc>
          <w:tcPr>
            <w:tcW w:w="244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930087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CRED</w:t>
            </w:r>
          </w:p>
        </w:tc>
      </w:tr>
      <w:tr w:rsidR="00E80A43" w:rsidRPr="00E80A43" w14:paraId="06778C61" w14:textId="77777777" w:rsidTr="00E80A43">
        <w:trPr>
          <w:trHeight w:val="458"/>
          <w:jc w:val="center"/>
        </w:trPr>
        <w:tc>
          <w:tcPr>
            <w:tcW w:w="1180" w:type="dxa"/>
            <w:vMerge/>
            <w:tcBorders>
              <w:top w:val="single" w:sz="4" w:space="0" w:color="auto"/>
              <w:left w:val="single" w:sz="12" w:space="0" w:color="auto"/>
              <w:bottom w:val="single" w:sz="4" w:space="0" w:color="auto"/>
              <w:right w:val="single" w:sz="4" w:space="0" w:color="auto"/>
            </w:tcBorders>
            <w:vAlign w:val="center"/>
            <w:hideMark/>
          </w:tcPr>
          <w:p w14:paraId="28F5E906" w14:textId="77777777" w:rsidR="00E80A43" w:rsidRPr="00E80A43" w:rsidRDefault="00E80A43" w:rsidP="00E80A43">
            <w:pPr>
              <w:contextualSpacing w:val="0"/>
              <w:rPr>
                <w:rFonts w:eastAsia="Times New Roman" w:cs="Times New Roman"/>
                <w:color w:val="000000"/>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CF9595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4E4D6A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(psi)</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A0C0801"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1A9BFCC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(psi)</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D3E60F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12" w:space="0" w:color="auto"/>
            </w:tcBorders>
            <w:shd w:val="clear" w:color="auto" w:fill="auto"/>
            <w:vAlign w:val="center"/>
            <w:hideMark/>
          </w:tcPr>
          <w:p w14:paraId="0D1C01A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Allowable Range (psi)</w:t>
            </w:r>
          </w:p>
        </w:tc>
      </w:tr>
      <w:tr w:rsidR="00E80A43" w:rsidRPr="00E80A43" w14:paraId="19E7191E" w14:textId="77777777" w:rsidTr="00E80A43">
        <w:trPr>
          <w:trHeight w:val="458"/>
          <w:jc w:val="center"/>
        </w:trPr>
        <w:tc>
          <w:tcPr>
            <w:tcW w:w="1180" w:type="dxa"/>
            <w:vMerge/>
            <w:tcBorders>
              <w:top w:val="single" w:sz="4" w:space="0" w:color="auto"/>
              <w:left w:val="single" w:sz="12" w:space="0" w:color="auto"/>
              <w:bottom w:val="single" w:sz="4" w:space="0" w:color="auto"/>
              <w:right w:val="single" w:sz="4" w:space="0" w:color="auto"/>
            </w:tcBorders>
            <w:vAlign w:val="center"/>
            <w:hideMark/>
          </w:tcPr>
          <w:p w14:paraId="335127A0" w14:textId="77777777" w:rsidR="00E80A43" w:rsidRPr="00E80A43" w:rsidRDefault="00E80A43" w:rsidP="00E80A43">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4B69FC6B"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3C055FCD" w14:textId="77777777" w:rsidR="00E80A43" w:rsidRPr="00E80A43" w:rsidRDefault="00E80A43" w:rsidP="00E80A43">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35390787"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67E28787" w14:textId="77777777" w:rsidR="00E80A43" w:rsidRPr="00E80A43" w:rsidRDefault="00E80A43" w:rsidP="00E80A43">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78763CCD" w14:textId="77777777" w:rsidR="00E80A43" w:rsidRPr="00E80A43" w:rsidRDefault="00E80A43" w:rsidP="00E80A43">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12" w:space="0" w:color="auto"/>
            </w:tcBorders>
            <w:vAlign w:val="center"/>
            <w:hideMark/>
          </w:tcPr>
          <w:p w14:paraId="6B0780DA" w14:textId="77777777" w:rsidR="00E80A43" w:rsidRPr="00E80A43" w:rsidRDefault="00E80A43" w:rsidP="00E80A43">
            <w:pPr>
              <w:contextualSpacing w:val="0"/>
              <w:rPr>
                <w:rFonts w:eastAsia="Times New Roman" w:cs="Times New Roman"/>
                <w:color w:val="000000"/>
                <w:szCs w:val="24"/>
              </w:rPr>
            </w:pPr>
          </w:p>
        </w:tc>
      </w:tr>
      <w:tr w:rsidR="00E80A43" w:rsidRPr="00E80A43" w14:paraId="4805C5D3" w14:textId="77777777" w:rsidTr="00E80A43">
        <w:trPr>
          <w:trHeight w:val="315"/>
          <w:jc w:val="center"/>
        </w:trPr>
        <w:tc>
          <w:tcPr>
            <w:tcW w:w="1180" w:type="dxa"/>
            <w:tcBorders>
              <w:top w:val="nil"/>
              <w:left w:val="single" w:sz="12" w:space="0" w:color="auto"/>
              <w:bottom w:val="single" w:sz="4" w:space="0" w:color="auto"/>
              <w:right w:val="single" w:sz="4" w:space="0" w:color="auto"/>
            </w:tcBorders>
            <w:shd w:val="clear" w:color="auto" w:fill="auto"/>
            <w:noWrap/>
            <w:vAlign w:val="center"/>
            <w:hideMark/>
          </w:tcPr>
          <w:p w14:paraId="51BB595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0</w:t>
            </w:r>
          </w:p>
        </w:tc>
        <w:tc>
          <w:tcPr>
            <w:tcW w:w="1080" w:type="dxa"/>
            <w:tcBorders>
              <w:top w:val="nil"/>
              <w:left w:val="nil"/>
              <w:bottom w:val="single" w:sz="4" w:space="0" w:color="auto"/>
              <w:right w:val="single" w:sz="4" w:space="0" w:color="auto"/>
            </w:tcBorders>
            <w:shd w:val="clear" w:color="000000" w:fill="FF0000"/>
            <w:noWrap/>
            <w:vAlign w:val="center"/>
            <w:hideMark/>
          </w:tcPr>
          <w:p w14:paraId="1B5FE08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390</w:t>
            </w:r>
          </w:p>
        </w:tc>
        <w:tc>
          <w:tcPr>
            <w:tcW w:w="1360" w:type="dxa"/>
            <w:tcBorders>
              <w:top w:val="nil"/>
              <w:left w:val="nil"/>
              <w:bottom w:val="single" w:sz="4" w:space="0" w:color="auto"/>
              <w:right w:val="single" w:sz="4" w:space="0" w:color="auto"/>
            </w:tcBorders>
            <w:shd w:val="clear" w:color="000000" w:fill="FF0000"/>
            <w:noWrap/>
            <w:vAlign w:val="center"/>
            <w:hideMark/>
          </w:tcPr>
          <w:p w14:paraId="4834BD02"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266</w:t>
            </w:r>
          </w:p>
        </w:tc>
        <w:tc>
          <w:tcPr>
            <w:tcW w:w="1080" w:type="dxa"/>
            <w:tcBorders>
              <w:top w:val="nil"/>
              <w:left w:val="nil"/>
              <w:bottom w:val="single" w:sz="4" w:space="0" w:color="auto"/>
              <w:right w:val="single" w:sz="4" w:space="0" w:color="auto"/>
            </w:tcBorders>
            <w:shd w:val="clear" w:color="000000" w:fill="00B050"/>
            <w:noWrap/>
            <w:vAlign w:val="center"/>
            <w:hideMark/>
          </w:tcPr>
          <w:p w14:paraId="2A43D12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270</w:t>
            </w:r>
          </w:p>
        </w:tc>
        <w:tc>
          <w:tcPr>
            <w:tcW w:w="1360" w:type="dxa"/>
            <w:tcBorders>
              <w:top w:val="nil"/>
              <w:left w:val="nil"/>
              <w:bottom w:val="single" w:sz="4" w:space="0" w:color="auto"/>
              <w:right w:val="single" w:sz="4" w:space="0" w:color="auto"/>
            </w:tcBorders>
            <w:shd w:val="clear" w:color="000000" w:fill="00B050"/>
            <w:noWrap/>
            <w:vAlign w:val="center"/>
            <w:hideMark/>
          </w:tcPr>
          <w:p w14:paraId="06BB1CA3"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355</w:t>
            </w:r>
          </w:p>
        </w:tc>
        <w:tc>
          <w:tcPr>
            <w:tcW w:w="1080" w:type="dxa"/>
            <w:tcBorders>
              <w:top w:val="nil"/>
              <w:left w:val="nil"/>
              <w:bottom w:val="single" w:sz="4" w:space="0" w:color="auto"/>
              <w:right w:val="single" w:sz="4" w:space="0" w:color="auto"/>
            </w:tcBorders>
            <w:shd w:val="clear" w:color="000000" w:fill="FF0000"/>
            <w:noWrap/>
            <w:vAlign w:val="center"/>
            <w:hideMark/>
          </w:tcPr>
          <w:p w14:paraId="5346426D"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500</w:t>
            </w:r>
          </w:p>
        </w:tc>
        <w:tc>
          <w:tcPr>
            <w:tcW w:w="1360" w:type="dxa"/>
            <w:tcBorders>
              <w:top w:val="nil"/>
              <w:left w:val="nil"/>
              <w:bottom w:val="single" w:sz="4" w:space="0" w:color="auto"/>
              <w:right w:val="single" w:sz="12" w:space="0" w:color="auto"/>
            </w:tcBorders>
            <w:shd w:val="clear" w:color="000000" w:fill="FF0000"/>
            <w:noWrap/>
            <w:vAlign w:val="center"/>
            <w:hideMark/>
          </w:tcPr>
          <w:p w14:paraId="496F25B1"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464</w:t>
            </w:r>
          </w:p>
        </w:tc>
      </w:tr>
      <w:tr w:rsidR="00E80A43" w:rsidRPr="00E80A43" w14:paraId="43288A7C" w14:textId="77777777" w:rsidTr="00E80A43">
        <w:trPr>
          <w:trHeight w:val="315"/>
          <w:jc w:val="center"/>
        </w:trPr>
        <w:tc>
          <w:tcPr>
            <w:tcW w:w="1180" w:type="dxa"/>
            <w:tcBorders>
              <w:top w:val="nil"/>
              <w:left w:val="single" w:sz="12" w:space="0" w:color="auto"/>
              <w:bottom w:val="single" w:sz="4" w:space="0" w:color="auto"/>
              <w:right w:val="single" w:sz="4" w:space="0" w:color="auto"/>
            </w:tcBorders>
            <w:shd w:val="clear" w:color="auto" w:fill="auto"/>
            <w:noWrap/>
            <w:vAlign w:val="center"/>
            <w:hideMark/>
          </w:tcPr>
          <w:p w14:paraId="2083174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000000" w:fill="00B050"/>
            <w:noWrap/>
            <w:vAlign w:val="center"/>
            <w:hideMark/>
          </w:tcPr>
          <w:p w14:paraId="6020E0A6"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290</w:t>
            </w:r>
          </w:p>
        </w:tc>
        <w:tc>
          <w:tcPr>
            <w:tcW w:w="1360" w:type="dxa"/>
            <w:tcBorders>
              <w:top w:val="nil"/>
              <w:left w:val="nil"/>
              <w:bottom w:val="single" w:sz="4" w:space="0" w:color="auto"/>
              <w:right w:val="single" w:sz="4" w:space="0" w:color="auto"/>
            </w:tcBorders>
            <w:shd w:val="clear" w:color="000000" w:fill="00B050"/>
            <w:noWrap/>
            <w:vAlign w:val="center"/>
            <w:hideMark/>
          </w:tcPr>
          <w:p w14:paraId="685722AF"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321</w:t>
            </w:r>
          </w:p>
        </w:tc>
        <w:tc>
          <w:tcPr>
            <w:tcW w:w="1080" w:type="dxa"/>
            <w:tcBorders>
              <w:top w:val="nil"/>
              <w:left w:val="nil"/>
              <w:bottom w:val="single" w:sz="4" w:space="0" w:color="auto"/>
              <w:right w:val="single" w:sz="4" w:space="0" w:color="auto"/>
            </w:tcBorders>
            <w:shd w:val="clear" w:color="000000" w:fill="00B050"/>
            <w:noWrap/>
            <w:vAlign w:val="center"/>
            <w:hideMark/>
          </w:tcPr>
          <w:p w14:paraId="71DA805E"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330</w:t>
            </w:r>
          </w:p>
        </w:tc>
        <w:tc>
          <w:tcPr>
            <w:tcW w:w="1360" w:type="dxa"/>
            <w:tcBorders>
              <w:top w:val="nil"/>
              <w:left w:val="nil"/>
              <w:bottom w:val="single" w:sz="4" w:space="0" w:color="auto"/>
              <w:right w:val="single" w:sz="4" w:space="0" w:color="auto"/>
            </w:tcBorders>
            <w:shd w:val="clear" w:color="000000" w:fill="00B050"/>
            <w:noWrap/>
            <w:vAlign w:val="center"/>
            <w:hideMark/>
          </w:tcPr>
          <w:p w14:paraId="667B8C7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407</w:t>
            </w:r>
          </w:p>
        </w:tc>
        <w:tc>
          <w:tcPr>
            <w:tcW w:w="1080" w:type="dxa"/>
            <w:tcBorders>
              <w:top w:val="nil"/>
              <w:left w:val="nil"/>
              <w:bottom w:val="single" w:sz="4" w:space="0" w:color="auto"/>
              <w:right w:val="single" w:sz="4" w:space="0" w:color="auto"/>
            </w:tcBorders>
            <w:shd w:val="clear" w:color="000000" w:fill="00B050"/>
            <w:noWrap/>
            <w:vAlign w:val="center"/>
            <w:hideMark/>
          </w:tcPr>
          <w:p w14:paraId="2CC85D8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430</w:t>
            </w:r>
          </w:p>
        </w:tc>
        <w:tc>
          <w:tcPr>
            <w:tcW w:w="1360" w:type="dxa"/>
            <w:tcBorders>
              <w:top w:val="nil"/>
              <w:left w:val="nil"/>
              <w:bottom w:val="single" w:sz="4" w:space="0" w:color="auto"/>
              <w:right w:val="single" w:sz="12" w:space="0" w:color="auto"/>
            </w:tcBorders>
            <w:shd w:val="clear" w:color="000000" w:fill="00B050"/>
            <w:noWrap/>
            <w:vAlign w:val="center"/>
            <w:hideMark/>
          </w:tcPr>
          <w:p w14:paraId="1DB851D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504</w:t>
            </w:r>
          </w:p>
        </w:tc>
      </w:tr>
      <w:tr w:rsidR="00E80A43" w:rsidRPr="00E80A43" w14:paraId="6DA307A2" w14:textId="77777777" w:rsidTr="00E80A43">
        <w:trPr>
          <w:trHeight w:val="315"/>
          <w:jc w:val="center"/>
        </w:trPr>
        <w:tc>
          <w:tcPr>
            <w:tcW w:w="1180" w:type="dxa"/>
            <w:tcBorders>
              <w:top w:val="nil"/>
              <w:left w:val="single" w:sz="12" w:space="0" w:color="auto"/>
              <w:bottom w:val="single" w:sz="4" w:space="0" w:color="auto"/>
              <w:right w:val="single" w:sz="4" w:space="0" w:color="auto"/>
            </w:tcBorders>
            <w:shd w:val="clear" w:color="auto" w:fill="auto"/>
            <w:noWrap/>
            <w:vAlign w:val="center"/>
            <w:hideMark/>
          </w:tcPr>
          <w:p w14:paraId="055587AC"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7</w:t>
            </w:r>
          </w:p>
        </w:tc>
        <w:tc>
          <w:tcPr>
            <w:tcW w:w="1080" w:type="dxa"/>
            <w:tcBorders>
              <w:top w:val="nil"/>
              <w:left w:val="nil"/>
              <w:bottom w:val="single" w:sz="4" w:space="0" w:color="auto"/>
              <w:right w:val="single" w:sz="4" w:space="0" w:color="auto"/>
            </w:tcBorders>
            <w:shd w:val="clear" w:color="000000" w:fill="00B050"/>
            <w:noWrap/>
            <w:vAlign w:val="center"/>
            <w:hideMark/>
          </w:tcPr>
          <w:p w14:paraId="3D42960B"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250</w:t>
            </w:r>
          </w:p>
        </w:tc>
        <w:tc>
          <w:tcPr>
            <w:tcW w:w="1360" w:type="dxa"/>
            <w:tcBorders>
              <w:top w:val="nil"/>
              <w:left w:val="nil"/>
              <w:bottom w:val="single" w:sz="4" w:space="0" w:color="auto"/>
              <w:right w:val="single" w:sz="4" w:space="0" w:color="auto"/>
            </w:tcBorders>
            <w:shd w:val="clear" w:color="000000" w:fill="00B050"/>
            <w:noWrap/>
            <w:vAlign w:val="center"/>
            <w:hideMark/>
          </w:tcPr>
          <w:p w14:paraId="3E83058E"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356</w:t>
            </w:r>
          </w:p>
        </w:tc>
        <w:tc>
          <w:tcPr>
            <w:tcW w:w="1080" w:type="dxa"/>
            <w:tcBorders>
              <w:top w:val="nil"/>
              <w:left w:val="nil"/>
              <w:bottom w:val="single" w:sz="4" w:space="0" w:color="auto"/>
              <w:right w:val="single" w:sz="4" w:space="0" w:color="auto"/>
            </w:tcBorders>
            <w:shd w:val="clear" w:color="000000" w:fill="00B050"/>
            <w:noWrap/>
            <w:vAlign w:val="center"/>
            <w:hideMark/>
          </w:tcPr>
          <w:p w14:paraId="4378DF1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350</w:t>
            </w:r>
          </w:p>
        </w:tc>
        <w:tc>
          <w:tcPr>
            <w:tcW w:w="1360" w:type="dxa"/>
            <w:tcBorders>
              <w:top w:val="nil"/>
              <w:left w:val="nil"/>
              <w:bottom w:val="single" w:sz="4" w:space="0" w:color="auto"/>
              <w:right w:val="single" w:sz="4" w:space="0" w:color="auto"/>
            </w:tcBorders>
            <w:shd w:val="clear" w:color="000000" w:fill="00B050"/>
            <w:noWrap/>
            <w:vAlign w:val="center"/>
            <w:hideMark/>
          </w:tcPr>
          <w:p w14:paraId="0F1372A4"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448</w:t>
            </w:r>
          </w:p>
        </w:tc>
        <w:tc>
          <w:tcPr>
            <w:tcW w:w="1080" w:type="dxa"/>
            <w:tcBorders>
              <w:top w:val="nil"/>
              <w:left w:val="nil"/>
              <w:bottom w:val="single" w:sz="4" w:space="0" w:color="auto"/>
              <w:right w:val="single" w:sz="4" w:space="0" w:color="auto"/>
            </w:tcBorders>
            <w:shd w:val="clear" w:color="000000" w:fill="00B050"/>
            <w:noWrap/>
            <w:vAlign w:val="center"/>
            <w:hideMark/>
          </w:tcPr>
          <w:p w14:paraId="7821A5A9"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310</w:t>
            </w:r>
          </w:p>
        </w:tc>
        <w:tc>
          <w:tcPr>
            <w:tcW w:w="1360" w:type="dxa"/>
            <w:tcBorders>
              <w:top w:val="nil"/>
              <w:left w:val="nil"/>
              <w:bottom w:val="single" w:sz="4" w:space="0" w:color="auto"/>
              <w:right w:val="single" w:sz="12" w:space="0" w:color="auto"/>
            </w:tcBorders>
            <w:shd w:val="clear" w:color="000000" w:fill="00B050"/>
            <w:noWrap/>
            <w:vAlign w:val="center"/>
            <w:hideMark/>
          </w:tcPr>
          <w:p w14:paraId="3DDD4B6A"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553</w:t>
            </w:r>
          </w:p>
        </w:tc>
      </w:tr>
      <w:tr w:rsidR="00E80A43" w:rsidRPr="00E80A43" w14:paraId="203BA68D" w14:textId="77777777" w:rsidTr="00E80A43">
        <w:trPr>
          <w:trHeight w:val="315"/>
          <w:jc w:val="center"/>
        </w:trPr>
        <w:tc>
          <w:tcPr>
            <w:tcW w:w="1180" w:type="dxa"/>
            <w:tcBorders>
              <w:top w:val="nil"/>
              <w:left w:val="single" w:sz="12" w:space="0" w:color="auto"/>
              <w:bottom w:val="single" w:sz="12" w:space="0" w:color="auto"/>
              <w:right w:val="single" w:sz="4" w:space="0" w:color="auto"/>
            </w:tcBorders>
            <w:shd w:val="clear" w:color="auto" w:fill="auto"/>
            <w:noWrap/>
            <w:vAlign w:val="center"/>
            <w:hideMark/>
          </w:tcPr>
          <w:p w14:paraId="2268C1CC"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14</w:t>
            </w:r>
          </w:p>
        </w:tc>
        <w:tc>
          <w:tcPr>
            <w:tcW w:w="1080" w:type="dxa"/>
            <w:tcBorders>
              <w:top w:val="nil"/>
              <w:left w:val="nil"/>
              <w:bottom w:val="single" w:sz="12" w:space="0" w:color="auto"/>
              <w:right w:val="single" w:sz="4" w:space="0" w:color="auto"/>
            </w:tcBorders>
            <w:shd w:val="clear" w:color="000000" w:fill="00B050"/>
            <w:noWrap/>
            <w:vAlign w:val="center"/>
            <w:hideMark/>
          </w:tcPr>
          <w:p w14:paraId="27DF70F9"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250</w:t>
            </w:r>
          </w:p>
        </w:tc>
        <w:tc>
          <w:tcPr>
            <w:tcW w:w="1360" w:type="dxa"/>
            <w:tcBorders>
              <w:top w:val="nil"/>
              <w:left w:val="nil"/>
              <w:bottom w:val="single" w:sz="12" w:space="0" w:color="auto"/>
              <w:right w:val="single" w:sz="4" w:space="0" w:color="auto"/>
            </w:tcBorders>
            <w:shd w:val="clear" w:color="000000" w:fill="00B050"/>
            <w:noWrap/>
            <w:vAlign w:val="center"/>
            <w:hideMark/>
          </w:tcPr>
          <w:p w14:paraId="41FDCD55"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380</w:t>
            </w:r>
          </w:p>
        </w:tc>
        <w:tc>
          <w:tcPr>
            <w:tcW w:w="1080" w:type="dxa"/>
            <w:tcBorders>
              <w:top w:val="nil"/>
              <w:left w:val="nil"/>
              <w:bottom w:val="single" w:sz="12" w:space="0" w:color="auto"/>
              <w:right w:val="single" w:sz="4" w:space="0" w:color="auto"/>
            </w:tcBorders>
            <w:shd w:val="clear" w:color="000000" w:fill="00B050"/>
            <w:noWrap/>
            <w:vAlign w:val="center"/>
            <w:hideMark/>
          </w:tcPr>
          <w:p w14:paraId="40BB1DA8"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200</w:t>
            </w:r>
          </w:p>
        </w:tc>
        <w:tc>
          <w:tcPr>
            <w:tcW w:w="1360" w:type="dxa"/>
            <w:tcBorders>
              <w:top w:val="nil"/>
              <w:left w:val="nil"/>
              <w:bottom w:val="single" w:sz="12" w:space="0" w:color="auto"/>
              <w:right w:val="single" w:sz="4" w:space="0" w:color="auto"/>
            </w:tcBorders>
            <w:shd w:val="clear" w:color="000000" w:fill="00B050"/>
            <w:noWrap/>
            <w:vAlign w:val="center"/>
            <w:hideMark/>
          </w:tcPr>
          <w:p w14:paraId="656D7F76"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461</w:t>
            </w:r>
          </w:p>
        </w:tc>
        <w:tc>
          <w:tcPr>
            <w:tcW w:w="1080" w:type="dxa"/>
            <w:tcBorders>
              <w:top w:val="nil"/>
              <w:left w:val="nil"/>
              <w:bottom w:val="single" w:sz="12" w:space="0" w:color="auto"/>
              <w:right w:val="single" w:sz="4" w:space="0" w:color="auto"/>
            </w:tcBorders>
            <w:shd w:val="clear" w:color="000000" w:fill="00B050"/>
            <w:noWrap/>
            <w:vAlign w:val="center"/>
            <w:hideMark/>
          </w:tcPr>
          <w:p w14:paraId="34BFAC02"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460</w:t>
            </w:r>
          </w:p>
        </w:tc>
        <w:tc>
          <w:tcPr>
            <w:tcW w:w="1360" w:type="dxa"/>
            <w:tcBorders>
              <w:top w:val="nil"/>
              <w:left w:val="nil"/>
              <w:bottom w:val="single" w:sz="12" w:space="0" w:color="auto"/>
              <w:right w:val="single" w:sz="12" w:space="0" w:color="auto"/>
            </w:tcBorders>
            <w:shd w:val="clear" w:color="000000" w:fill="00B050"/>
            <w:noWrap/>
            <w:vAlign w:val="center"/>
            <w:hideMark/>
          </w:tcPr>
          <w:p w14:paraId="38368FE9" w14:textId="77777777" w:rsidR="00E80A43" w:rsidRPr="00E80A43" w:rsidRDefault="00E80A43" w:rsidP="00E80A43">
            <w:pPr>
              <w:contextualSpacing w:val="0"/>
              <w:jc w:val="center"/>
              <w:rPr>
                <w:rFonts w:eastAsia="Times New Roman" w:cs="Times New Roman"/>
                <w:color w:val="000000"/>
                <w:szCs w:val="24"/>
              </w:rPr>
            </w:pPr>
            <w:r w:rsidRPr="00E80A43">
              <w:rPr>
                <w:rFonts w:eastAsia="Times New Roman" w:cs="Times New Roman"/>
                <w:color w:val="000000"/>
                <w:szCs w:val="24"/>
              </w:rPr>
              <w:t>571</w:t>
            </w:r>
          </w:p>
        </w:tc>
      </w:tr>
    </w:tbl>
    <w:p w14:paraId="793FC6DF" w14:textId="48E8CBC2" w:rsidR="00E80A43" w:rsidRDefault="00E80A43" w:rsidP="00E80A43">
      <w:pPr>
        <w:jc w:val="center"/>
      </w:pPr>
    </w:p>
    <w:p w14:paraId="25DDBA9A" w14:textId="464C79B7" w:rsidR="00B56EFE" w:rsidRDefault="00B56EFE" w:rsidP="00E80A43">
      <w:pPr>
        <w:jc w:val="center"/>
      </w:pPr>
    </w:p>
    <w:p w14:paraId="7EE63E2A" w14:textId="61EBC58B" w:rsidR="00B56EFE" w:rsidRDefault="00B56EFE" w:rsidP="00E80A43">
      <w:pPr>
        <w:jc w:val="center"/>
      </w:pPr>
    </w:p>
    <w:p w14:paraId="2D06621A" w14:textId="68EE5BE8" w:rsidR="00B56EFE" w:rsidRDefault="00B56EFE" w:rsidP="00E80A43">
      <w:pPr>
        <w:jc w:val="center"/>
      </w:pPr>
    </w:p>
    <w:p w14:paraId="1B48B2AB" w14:textId="4EFB065D" w:rsidR="00B56EFE" w:rsidRDefault="00B56EFE" w:rsidP="00E80A43">
      <w:pPr>
        <w:jc w:val="center"/>
      </w:pPr>
    </w:p>
    <w:p w14:paraId="1BAFABB5" w14:textId="34AB5E7A" w:rsidR="00B56EFE" w:rsidRDefault="00B56EFE" w:rsidP="0057047F"/>
    <w:p w14:paraId="2D5443AA" w14:textId="715DA89F" w:rsidR="0057047F" w:rsidRDefault="0057047F" w:rsidP="0057047F"/>
    <w:p w14:paraId="311AE03C" w14:textId="77777777" w:rsidR="0057047F" w:rsidRDefault="0057047F" w:rsidP="0057047F"/>
    <w:p w14:paraId="647619D4" w14:textId="04A70AC8" w:rsidR="00B56EFE" w:rsidRDefault="00B56EFE" w:rsidP="00E80A43">
      <w:pPr>
        <w:jc w:val="center"/>
      </w:pPr>
      <w:r w:rsidRPr="00B56EFE">
        <w:rPr>
          <w:b/>
        </w:rPr>
        <w:lastRenderedPageBreak/>
        <w:t>Table 8.</w:t>
      </w:r>
      <w:r>
        <w:t xml:space="preserve"> Comparison of All Mixture’s Tensile Strength Ranges to Allowable Ranges</w:t>
      </w:r>
    </w:p>
    <w:p w14:paraId="17555075" w14:textId="3EFC5C04" w:rsidR="00B56EFE" w:rsidRDefault="00B56EFE" w:rsidP="00E80A43">
      <w:pPr>
        <w:jc w:val="center"/>
      </w:pPr>
    </w:p>
    <w:tbl>
      <w:tblPr>
        <w:tblW w:w="8400" w:type="dxa"/>
        <w:jc w:val="center"/>
        <w:tblLook w:val="04A0" w:firstRow="1" w:lastRow="0" w:firstColumn="1" w:lastColumn="0" w:noHBand="0" w:noVBand="1"/>
      </w:tblPr>
      <w:tblGrid>
        <w:gridCol w:w="1080"/>
        <w:gridCol w:w="1080"/>
        <w:gridCol w:w="1360"/>
        <w:gridCol w:w="1080"/>
        <w:gridCol w:w="1360"/>
        <w:gridCol w:w="1080"/>
        <w:gridCol w:w="1360"/>
      </w:tblGrid>
      <w:tr w:rsidR="00B56EFE" w:rsidRPr="00B56EFE" w14:paraId="64B33752" w14:textId="77777777" w:rsidTr="00B56EFE">
        <w:trPr>
          <w:trHeight w:val="315"/>
          <w:jc w:val="center"/>
        </w:trPr>
        <w:tc>
          <w:tcPr>
            <w:tcW w:w="108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1684507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Curing Age (days)</w:t>
            </w:r>
          </w:p>
        </w:tc>
        <w:tc>
          <w:tcPr>
            <w:tcW w:w="244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D101DD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Commercial 3500</w:t>
            </w:r>
          </w:p>
        </w:tc>
        <w:tc>
          <w:tcPr>
            <w:tcW w:w="244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E56239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Commercial ACI</w:t>
            </w:r>
          </w:p>
        </w:tc>
        <w:tc>
          <w:tcPr>
            <w:tcW w:w="244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69A11BC5"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CRED</w:t>
            </w:r>
          </w:p>
        </w:tc>
      </w:tr>
      <w:tr w:rsidR="00B56EFE" w:rsidRPr="00B56EFE" w14:paraId="05D2262E" w14:textId="77777777" w:rsidTr="00B56EFE">
        <w:trPr>
          <w:trHeight w:val="45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14:paraId="4A5E2E10" w14:textId="77777777" w:rsidR="00B56EFE" w:rsidRPr="00B56EFE" w:rsidRDefault="00B56EFE" w:rsidP="00B56EFE">
            <w:pPr>
              <w:contextualSpacing w:val="0"/>
              <w:rPr>
                <w:rFonts w:eastAsia="Times New Roman" w:cs="Times New Roman"/>
                <w:color w:val="000000"/>
                <w:szCs w:val="24"/>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A19FD86"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721FABC2"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Allowable Range (psi)</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40D2684"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78B654D"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Allowable Range (psi)</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9BA2286"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Range (psi)</w:t>
            </w:r>
          </w:p>
        </w:tc>
        <w:tc>
          <w:tcPr>
            <w:tcW w:w="1360" w:type="dxa"/>
            <w:vMerge w:val="restart"/>
            <w:tcBorders>
              <w:top w:val="nil"/>
              <w:left w:val="single" w:sz="4" w:space="0" w:color="auto"/>
              <w:bottom w:val="single" w:sz="4" w:space="0" w:color="auto"/>
              <w:right w:val="single" w:sz="12" w:space="0" w:color="auto"/>
            </w:tcBorders>
            <w:shd w:val="clear" w:color="auto" w:fill="auto"/>
            <w:vAlign w:val="center"/>
            <w:hideMark/>
          </w:tcPr>
          <w:p w14:paraId="04CB4992"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Allowable Range (psi)</w:t>
            </w:r>
          </w:p>
        </w:tc>
      </w:tr>
      <w:tr w:rsidR="00B56EFE" w:rsidRPr="00B56EFE" w14:paraId="56D90BD8" w14:textId="77777777" w:rsidTr="00B56EFE">
        <w:trPr>
          <w:trHeight w:val="458"/>
          <w:jc w:val="center"/>
        </w:trPr>
        <w:tc>
          <w:tcPr>
            <w:tcW w:w="1080" w:type="dxa"/>
            <w:vMerge/>
            <w:tcBorders>
              <w:top w:val="single" w:sz="4" w:space="0" w:color="auto"/>
              <w:left w:val="single" w:sz="12" w:space="0" w:color="auto"/>
              <w:bottom w:val="single" w:sz="4" w:space="0" w:color="auto"/>
              <w:right w:val="single" w:sz="4" w:space="0" w:color="auto"/>
            </w:tcBorders>
            <w:vAlign w:val="center"/>
            <w:hideMark/>
          </w:tcPr>
          <w:p w14:paraId="6A0F78C4" w14:textId="77777777" w:rsidR="00B56EFE" w:rsidRPr="00B56EFE" w:rsidRDefault="00B56EFE" w:rsidP="00B56EFE">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6E98F109" w14:textId="77777777" w:rsidR="00B56EFE" w:rsidRPr="00B56EFE" w:rsidRDefault="00B56EFE" w:rsidP="00B56EFE">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7C63CD71" w14:textId="77777777" w:rsidR="00B56EFE" w:rsidRPr="00B56EFE" w:rsidRDefault="00B56EFE" w:rsidP="00B56EFE">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1BCD6CE7" w14:textId="77777777" w:rsidR="00B56EFE" w:rsidRPr="00B56EFE" w:rsidRDefault="00B56EFE" w:rsidP="00B56EFE">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4" w:space="0" w:color="auto"/>
            </w:tcBorders>
            <w:vAlign w:val="center"/>
            <w:hideMark/>
          </w:tcPr>
          <w:p w14:paraId="32D78F58" w14:textId="77777777" w:rsidR="00B56EFE" w:rsidRPr="00B56EFE" w:rsidRDefault="00B56EFE" w:rsidP="00B56EFE">
            <w:pPr>
              <w:contextualSpacing w:val="0"/>
              <w:rPr>
                <w:rFonts w:eastAsia="Times New Roman" w:cs="Times New Roman"/>
                <w:color w:val="000000"/>
                <w:szCs w:val="24"/>
              </w:rPr>
            </w:pPr>
          </w:p>
        </w:tc>
        <w:tc>
          <w:tcPr>
            <w:tcW w:w="1080" w:type="dxa"/>
            <w:vMerge/>
            <w:tcBorders>
              <w:top w:val="nil"/>
              <w:left w:val="single" w:sz="4" w:space="0" w:color="auto"/>
              <w:bottom w:val="single" w:sz="4" w:space="0" w:color="auto"/>
              <w:right w:val="single" w:sz="4" w:space="0" w:color="auto"/>
            </w:tcBorders>
            <w:vAlign w:val="center"/>
            <w:hideMark/>
          </w:tcPr>
          <w:p w14:paraId="12A2EA01" w14:textId="77777777" w:rsidR="00B56EFE" w:rsidRPr="00B56EFE" w:rsidRDefault="00B56EFE" w:rsidP="00B56EFE">
            <w:pPr>
              <w:contextualSpacing w:val="0"/>
              <w:rPr>
                <w:rFonts w:eastAsia="Times New Roman" w:cs="Times New Roman"/>
                <w:color w:val="000000"/>
                <w:szCs w:val="24"/>
              </w:rPr>
            </w:pPr>
          </w:p>
        </w:tc>
        <w:tc>
          <w:tcPr>
            <w:tcW w:w="1360" w:type="dxa"/>
            <w:vMerge/>
            <w:tcBorders>
              <w:top w:val="nil"/>
              <w:left w:val="single" w:sz="4" w:space="0" w:color="auto"/>
              <w:bottom w:val="single" w:sz="4" w:space="0" w:color="auto"/>
              <w:right w:val="single" w:sz="12" w:space="0" w:color="auto"/>
            </w:tcBorders>
            <w:vAlign w:val="center"/>
            <w:hideMark/>
          </w:tcPr>
          <w:p w14:paraId="0EF7E356" w14:textId="77777777" w:rsidR="00B56EFE" w:rsidRPr="00B56EFE" w:rsidRDefault="00B56EFE" w:rsidP="00B56EFE">
            <w:pPr>
              <w:contextualSpacing w:val="0"/>
              <w:rPr>
                <w:rFonts w:eastAsia="Times New Roman" w:cs="Times New Roman"/>
                <w:color w:val="000000"/>
                <w:szCs w:val="24"/>
              </w:rPr>
            </w:pPr>
          </w:p>
        </w:tc>
      </w:tr>
      <w:tr w:rsidR="00B56EFE" w:rsidRPr="00B56EFE" w14:paraId="5C053432" w14:textId="77777777" w:rsidTr="00B56EFE">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5FA840BF"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0</w:t>
            </w:r>
          </w:p>
        </w:tc>
        <w:tc>
          <w:tcPr>
            <w:tcW w:w="1080" w:type="dxa"/>
            <w:tcBorders>
              <w:top w:val="nil"/>
              <w:left w:val="nil"/>
              <w:bottom w:val="single" w:sz="4" w:space="0" w:color="auto"/>
              <w:right w:val="single" w:sz="4" w:space="0" w:color="auto"/>
            </w:tcBorders>
            <w:shd w:val="clear" w:color="000000" w:fill="00B050"/>
            <w:noWrap/>
            <w:vAlign w:val="center"/>
            <w:hideMark/>
          </w:tcPr>
          <w:p w14:paraId="54C8D313"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40</w:t>
            </w:r>
          </w:p>
        </w:tc>
        <w:tc>
          <w:tcPr>
            <w:tcW w:w="1360" w:type="dxa"/>
            <w:tcBorders>
              <w:top w:val="nil"/>
              <w:left w:val="nil"/>
              <w:bottom w:val="single" w:sz="4" w:space="0" w:color="auto"/>
              <w:right w:val="single" w:sz="4" w:space="0" w:color="auto"/>
            </w:tcBorders>
            <w:shd w:val="clear" w:color="000000" w:fill="00B050"/>
            <w:noWrap/>
            <w:vAlign w:val="center"/>
            <w:hideMark/>
          </w:tcPr>
          <w:p w14:paraId="37566B20"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45.8</w:t>
            </w:r>
          </w:p>
        </w:tc>
        <w:tc>
          <w:tcPr>
            <w:tcW w:w="1080" w:type="dxa"/>
            <w:tcBorders>
              <w:top w:val="nil"/>
              <w:left w:val="nil"/>
              <w:bottom w:val="single" w:sz="4" w:space="0" w:color="auto"/>
              <w:right w:val="single" w:sz="4" w:space="0" w:color="auto"/>
            </w:tcBorders>
            <w:shd w:val="clear" w:color="000000" w:fill="00B050"/>
            <w:noWrap/>
            <w:vAlign w:val="center"/>
            <w:hideMark/>
          </w:tcPr>
          <w:p w14:paraId="095881B2"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30</w:t>
            </w:r>
          </w:p>
        </w:tc>
        <w:tc>
          <w:tcPr>
            <w:tcW w:w="1360" w:type="dxa"/>
            <w:tcBorders>
              <w:top w:val="nil"/>
              <w:left w:val="nil"/>
              <w:bottom w:val="single" w:sz="4" w:space="0" w:color="auto"/>
              <w:right w:val="single" w:sz="4" w:space="0" w:color="auto"/>
            </w:tcBorders>
            <w:shd w:val="clear" w:color="000000" w:fill="00B050"/>
            <w:noWrap/>
            <w:vAlign w:val="center"/>
            <w:hideMark/>
          </w:tcPr>
          <w:p w14:paraId="23743FB0"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60</w:t>
            </w:r>
          </w:p>
        </w:tc>
        <w:tc>
          <w:tcPr>
            <w:tcW w:w="1080" w:type="dxa"/>
            <w:tcBorders>
              <w:top w:val="nil"/>
              <w:left w:val="nil"/>
              <w:bottom w:val="single" w:sz="4" w:space="0" w:color="auto"/>
              <w:right w:val="single" w:sz="4" w:space="0" w:color="auto"/>
            </w:tcBorders>
            <w:shd w:val="clear" w:color="000000" w:fill="00B050"/>
            <w:noWrap/>
            <w:vAlign w:val="center"/>
            <w:hideMark/>
          </w:tcPr>
          <w:p w14:paraId="3DBC1B5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45</w:t>
            </w:r>
          </w:p>
        </w:tc>
        <w:tc>
          <w:tcPr>
            <w:tcW w:w="1360" w:type="dxa"/>
            <w:tcBorders>
              <w:top w:val="nil"/>
              <w:left w:val="nil"/>
              <w:bottom w:val="single" w:sz="4" w:space="0" w:color="auto"/>
              <w:right w:val="single" w:sz="12" w:space="0" w:color="auto"/>
            </w:tcBorders>
            <w:shd w:val="clear" w:color="000000" w:fill="00B050"/>
            <w:noWrap/>
            <w:vAlign w:val="center"/>
            <w:hideMark/>
          </w:tcPr>
          <w:p w14:paraId="7472326B"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68</w:t>
            </w:r>
          </w:p>
        </w:tc>
      </w:tr>
      <w:tr w:rsidR="00B56EFE" w:rsidRPr="00B56EFE" w14:paraId="30DA2614" w14:textId="77777777" w:rsidTr="00B56EFE">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4EB04FC9"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000000" w:fill="00B050"/>
            <w:noWrap/>
            <w:vAlign w:val="center"/>
            <w:hideMark/>
          </w:tcPr>
          <w:p w14:paraId="5CF1A1E4"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35</w:t>
            </w:r>
          </w:p>
        </w:tc>
        <w:tc>
          <w:tcPr>
            <w:tcW w:w="1360" w:type="dxa"/>
            <w:tcBorders>
              <w:top w:val="nil"/>
              <w:left w:val="nil"/>
              <w:bottom w:val="single" w:sz="4" w:space="0" w:color="auto"/>
              <w:right w:val="single" w:sz="4" w:space="0" w:color="auto"/>
            </w:tcBorders>
            <w:shd w:val="clear" w:color="000000" w:fill="00B050"/>
            <w:noWrap/>
            <w:vAlign w:val="center"/>
            <w:hideMark/>
          </w:tcPr>
          <w:p w14:paraId="3CDC99CB"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56.5</w:t>
            </w:r>
          </w:p>
        </w:tc>
        <w:tc>
          <w:tcPr>
            <w:tcW w:w="1080" w:type="dxa"/>
            <w:tcBorders>
              <w:top w:val="nil"/>
              <w:left w:val="nil"/>
              <w:bottom w:val="single" w:sz="4" w:space="0" w:color="auto"/>
              <w:right w:val="single" w:sz="4" w:space="0" w:color="auto"/>
            </w:tcBorders>
            <w:shd w:val="clear" w:color="000000" w:fill="00B050"/>
            <w:noWrap/>
            <w:vAlign w:val="center"/>
            <w:hideMark/>
          </w:tcPr>
          <w:p w14:paraId="7604E526"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50</w:t>
            </w:r>
          </w:p>
        </w:tc>
        <w:tc>
          <w:tcPr>
            <w:tcW w:w="1360" w:type="dxa"/>
            <w:tcBorders>
              <w:top w:val="nil"/>
              <w:left w:val="nil"/>
              <w:bottom w:val="single" w:sz="4" w:space="0" w:color="auto"/>
              <w:right w:val="single" w:sz="4" w:space="0" w:color="auto"/>
            </w:tcBorders>
            <w:shd w:val="clear" w:color="000000" w:fill="00B050"/>
            <w:noWrap/>
            <w:vAlign w:val="center"/>
            <w:hideMark/>
          </w:tcPr>
          <w:p w14:paraId="34D7CBE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67.7</w:t>
            </w:r>
          </w:p>
        </w:tc>
        <w:tc>
          <w:tcPr>
            <w:tcW w:w="1080" w:type="dxa"/>
            <w:tcBorders>
              <w:top w:val="nil"/>
              <w:left w:val="nil"/>
              <w:bottom w:val="single" w:sz="4" w:space="0" w:color="auto"/>
              <w:right w:val="single" w:sz="4" w:space="0" w:color="auto"/>
            </w:tcBorders>
            <w:shd w:val="clear" w:color="000000" w:fill="FF0000"/>
            <w:noWrap/>
            <w:vAlign w:val="center"/>
            <w:hideMark/>
          </w:tcPr>
          <w:p w14:paraId="55B73D4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90</w:t>
            </w:r>
          </w:p>
        </w:tc>
        <w:tc>
          <w:tcPr>
            <w:tcW w:w="1360" w:type="dxa"/>
            <w:tcBorders>
              <w:top w:val="nil"/>
              <w:left w:val="nil"/>
              <w:bottom w:val="single" w:sz="4" w:space="0" w:color="auto"/>
              <w:right w:val="single" w:sz="12" w:space="0" w:color="auto"/>
            </w:tcBorders>
            <w:shd w:val="clear" w:color="000000" w:fill="FF0000"/>
            <w:noWrap/>
            <w:vAlign w:val="center"/>
            <w:hideMark/>
          </w:tcPr>
          <w:p w14:paraId="71B7BCFD"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72</w:t>
            </w:r>
          </w:p>
        </w:tc>
      </w:tr>
      <w:tr w:rsidR="00B56EFE" w:rsidRPr="00B56EFE" w14:paraId="056BD8DB" w14:textId="77777777" w:rsidTr="00B56EFE">
        <w:trPr>
          <w:trHeight w:val="315"/>
          <w:jc w:val="center"/>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14:paraId="3BF3A3F5"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7</w:t>
            </w:r>
          </w:p>
        </w:tc>
        <w:tc>
          <w:tcPr>
            <w:tcW w:w="1080" w:type="dxa"/>
            <w:tcBorders>
              <w:top w:val="nil"/>
              <w:left w:val="nil"/>
              <w:bottom w:val="single" w:sz="4" w:space="0" w:color="auto"/>
              <w:right w:val="single" w:sz="4" w:space="0" w:color="auto"/>
            </w:tcBorders>
            <w:shd w:val="clear" w:color="000000" w:fill="00B050"/>
            <w:noWrap/>
            <w:vAlign w:val="center"/>
            <w:hideMark/>
          </w:tcPr>
          <w:p w14:paraId="0CE5CDE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40</w:t>
            </w:r>
          </w:p>
        </w:tc>
        <w:tc>
          <w:tcPr>
            <w:tcW w:w="1360" w:type="dxa"/>
            <w:tcBorders>
              <w:top w:val="nil"/>
              <w:left w:val="nil"/>
              <w:bottom w:val="single" w:sz="4" w:space="0" w:color="auto"/>
              <w:right w:val="single" w:sz="4" w:space="0" w:color="auto"/>
            </w:tcBorders>
            <w:shd w:val="clear" w:color="000000" w:fill="00B050"/>
            <w:noWrap/>
            <w:vAlign w:val="center"/>
            <w:hideMark/>
          </w:tcPr>
          <w:p w14:paraId="671950A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60.5</w:t>
            </w:r>
          </w:p>
        </w:tc>
        <w:tc>
          <w:tcPr>
            <w:tcW w:w="1080" w:type="dxa"/>
            <w:tcBorders>
              <w:top w:val="nil"/>
              <w:left w:val="nil"/>
              <w:bottom w:val="single" w:sz="4" w:space="0" w:color="auto"/>
              <w:right w:val="single" w:sz="4" w:space="0" w:color="auto"/>
            </w:tcBorders>
            <w:shd w:val="clear" w:color="000000" w:fill="00B050"/>
            <w:noWrap/>
            <w:vAlign w:val="center"/>
            <w:hideMark/>
          </w:tcPr>
          <w:p w14:paraId="51386E9C"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45</w:t>
            </w:r>
          </w:p>
        </w:tc>
        <w:tc>
          <w:tcPr>
            <w:tcW w:w="1360" w:type="dxa"/>
            <w:tcBorders>
              <w:top w:val="nil"/>
              <w:left w:val="nil"/>
              <w:bottom w:val="single" w:sz="4" w:space="0" w:color="auto"/>
              <w:right w:val="single" w:sz="4" w:space="0" w:color="auto"/>
            </w:tcBorders>
            <w:shd w:val="clear" w:color="000000" w:fill="00B050"/>
            <w:noWrap/>
            <w:vAlign w:val="center"/>
            <w:hideMark/>
          </w:tcPr>
          <w:p w14:paraId="7CF8433D"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67.7</w:t>
            </w:r>
          </w:p>
        </w:tc>
        <w:tc>
          <w:tcPr>
            <w:tcW w:w="1080" w:type="dxa"/>
            <w:tcBorders>
              <w:top w:val="nil"/>
              <w:left w:val="nil"/>
              <w:bottom w:val="single" w:sz="4" w:space="0" w:color="auto"/>
              <w:right w:val="single" w:sz="4" w:space="0" w:color="auto"/>
            </w:tcBorders>
            <w:shd w:val="clear" w:color="000000" w:fill="FF0000"/>
            <w:noWrap/>
            <w:vAlign w:val="center"/>
            <w:hideMark/>
          </w:tcPr>
          <w:p w14:paraId="5B3882E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80</w:t>
            </w:r>
          </w:p>
        </w:tc>
        <w:tc>
          <w:tcPr>
            <w:tcW w:w="1360" w:type="dxa"/>
            <w:tcBorders>
              <w:top w:val="nil"/>
              <w:left w:val="nil"/>
              <w:bottom w:val="single" w:sz="4" w:space="0" w:color="auto"/>
              <w:right w:val="single" w:sz="12" w:space="0" w:color="auto"/>
            </w:tcBorders>
            <w:shd w:val="clear" w:color="000000" w:fill="FF0000"/>
            <w:noWrap/>
            <w:vAlign w:val="center"/>
            <w:hideMark/>
          </w:tcPr>
          <w:p w14:paraId="2203C366"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75.2</w:t>
            </w:r>
          </w:p>
        </w:tc>
      </w:tr>
      <w:tr w:rsidR="00B56EFE" w:rsidRPr="00B56EFE" w14:paraId="1561489B" w14:textId="77777777" w:rsidTr="00B56EFE">
        <w:trPr>
          <w:trHeight w:val="315"/>
          <w:jc w:val="center"/>
        </w:trPr>
        <w:tc>
          <w:tcPr>
            <w:tcW w:w="1080" w:type="dxa"/>
            <w:tcBorders>
              <w:top w:val="nil"/>
              <w:left w:val="single" w:sz="12" w:space="0" w:color="auto"/>
              <w:bottom w:val="single" w:sz="12" w:space="0" w:color="auto"/>
              <w:right w:val="single" w:sz="4" w:space="0" w:color="auto"/>
            </w:tcBorders>
            <w:shd w:val="clear" w:color="auto" w:fill="auto"/>
            <w:noWrap/>
            <w:vAlign w:val="center"/>
            <w:hideMark/>
          </w:tcPr>
          <w:p w14:paraId="156AF0E6"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14</w:t>
            </w:r>
          </w:p>
        </w:tc>
        <w:tc>
          <w:tcPr>
            <w:tcW w:w="1080" w:type="dxa"/>
            <w:tcBorders>
              <w:top w:val="nil"/>
              <w:left w:val="nil"/>
              <w:bottom w:val="single" w:sz="12" w:space="0" w:color="auto"/>
              <w:right w:val="single" w:sz="4" w:space="0" w:color="auto"/>
            </w:tcBorders>
            <w:shd w:val="clear" w:color="000000" w:fill="00B050"/>
            <w:noWrap/>
            <w:vAlign w:val="center"/>
            <w:hideMark/>
          </w:tcPr>
          <w:p w14:paraId="42A868E4"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45</w:t>
            </w:r>
          </w:p>
        </w:tc>
        <w:tc>
          <w:tcPr>
            <w:tcW w:w="1360" w:type="dxa"/>
            <w:tcBorders>
              <w:top w:val="nil"/>
              <w:left w:val="nil"/>
              <w:bottom w:val="single" w:sz="12" w:space="0" w:color="auto"/>
              <w:right w:val="single" w:sz="4" w:space="0" w:color="auto"/>
            </w:tcBorders>
            <w:shd w:val="clear" w:color="000000" w:fill="00B050"/>
            <w:noWrap/>
            <w:vAlign w:val="center"/>
            <w:hideMark/>
          </w:tcPr>
          <w:p w14:paraId="51CCDBA7"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62.3</w:t>
            </w:r>
          </w:p>
        </w:tc>
        <w:tc>
          <w:tcPr>
            <w:tcW w:w="1080" w:type="dxa"/>
            <w:tcBorders>
              <w:top w:val="nil"/>
              <w:left w:val="nil"/>
              <w:bottom w:val="single" w:sz="12" w:space="0" w:color="auto"/>
              <w:right w:val="single" w:sz="4" w:space="0" w:color="auto"/>
            </w:tcBorders>
            <w:shd w:val="clear" w:color="000000" w:fill="00B050"/>
            <w:noWrap/>
            <w:vAlign w:val="center"/>
            <w:hideMark/>
          </w:tcPr>
          <w:p w14:paraId="3B1373E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45</w:t>
            </w:r>
          </w:p>
        </w:tc>
        <w:tc>
          <w:tcPr>
            <w:tcW w:w="1360" w:type="dxa"/>
            <w:tcBorders>
              <w:top w:val="nil"/>
              <w:left w:val="nil"/>
              <w:bottom w:val="single" w:sz="12" w:space="0" w:color="auto"/>
              <w:right w:val="single" w:sz="4" w:space="0" w:color="auto"/>
            </w:tcBorders>
            <w:shd w:val="clear" w:color="000000" w:fill="00B050"/>
            <w:noWrap/>
            <w:vAlign w:val="center"/>
            <w:hideMark/>
          </w:tcPr>
          <w:p w14:paraId="74533844"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72.7</w:t>
            </w:r>
          </w:p>
        </w:tc>
        <w:tc>
          <w:tcPr>
            <w:tcW w:w="1080" w:type="dxa"/>
            <w:tcBorders>
              <w:top w:val="nil"/>
              <w:left w:val="nil"/>
              <w:bottom w:val="single" w:sz="12" w:space="0" w:color="auto"/>
              <w:right w:val="single" w:sz="4" w:space="0" w:color="auto"/>
            </w:tcBorders>
            <w:shd w:val="clear" w:color="000000" w:fill="00B050"/>
            <w:noWrap/>
            <w:vAlign w:val="center"/>
            <w:hideMark/>
          </w:tcPr>
          <w:p w14:paraId="37A27B7E"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25</w:t>
            </w:r>
          </w:p>
        </w:tc>
        <w:tc>
          <w:tcPr>
            <w:tcW w:w="1360" w:type="dxa"/>
            <w:tcBorders>
              <w:top w:val="nil"/>
              <w:left w:val="nil"/>
              <w:bottom w:val="single" w:sz="12" w:space="0" w:color="auto"/>
              <w:right w:val="single" w:sz="12" w:space="0" w:color="auto"/>
            </w:tcBorders>
            <w:shd w:val="clear" w:color="000000" w:fill="00B050"/>
            <w:noWrap/>
            <w:vAlign w:val="center"/>
            <w:hideMark/>
          </w:tcPr>
          <w:p w14:paraId="6F68751A" w14:textId="77777777" w:rsidR="00B56EFE" w:rsidRPr="00B56EFE" w:rsidRDefault="00B56EFE" w:rsidP="00B56EFE">
            <w:pPr>
              <w:contextualSpacing w:val="0"/>
              <w:jc w:val="center"/>
              <w:rPr>
                <w:rFonts w:eastAsia="Times New Roman" w:cs="Times New Roman"/>
                <w:color w:val="000000"/>
                <w:szCs w:val="24"/>
              </w:rPr>
            </w:pPr>
            <w:r w:rsidRPr="00B56EFE">
              <w:rPr>
                <w:rFonts w:eastAsia="Times New Roman" w:cs="Times New Roman"/>
                <w:color w:val="000000"/>
                <w:szCs w:val="24"/>
              </w:rPr>
              <w:t>79.8</w:t>
            </w:r>
          </w:p>
        </w:tc>
      </w:tr>
    </w:tbl>
    <w:p w14:paraId="7262D22D" w14:textId="502B13FC" w:rsidR="00B56EFE" w:rsidRDefault="00B56EFE" w:rsidP="00E80A43">
      <w:pPr>
        <w:jc w:val="center"/>
      </w:pPr>
    </w:p>
    <w:p w14:paraId="1FAA94CC" w14:textId="1E541C12" w:rsidR="00B56EFE" w:rsidRDefault="00B56EFE" w:rsidP="00B56EFE">
      <w:r>
        <w:tab/>
      </w:r>
      <w:r w:rsidR="00457535">
        <w:t xml:space="preserve">Four out of thirty-six cases </w:t>
      </w:r>
      <w:r w:rsidR="00A833AE">
        <w:t xml:space="preserve">across all mixtures and tests are seen to have an actual range greater than the allowable range. Commercial 3500 and CRED with zero days of immersion curing experienced one batch having lower than normal compressive breaks. CRED with three and seven days of immersion curing experienced </w:t>
      </w:r>
      <w:r w:rsidR="00AA5C75">
        <w:t xml:space="preserve">singular batches having higher than normal tensile strengths for their curing age. This is thought to be a symptom of sample size; however, the exact cause is unknown but considered </w:t>
      </w:r>
      <w:r w:rsidR="00D11BFA">
        <w:t xml:space="preserve">not </w:t>
      </w:r>
      <w:r w:rsidR="00AA5C75">
        <w:t>to be a problem.</w:t>
      </w:r>
    </w:p>
    <w:p w14:paraId="46E3BC39" w14:textId="29B8A29C" w:rsidR="00AA5C75" w:rsidRDefault="00AA5C75" w:rsidP="00B56EFE"/>
    <w:p w14:paraId="2B431496" w14:textId="54A3B389" w:rsidR="00AA5C75" w:rsidRDefault="00AA5C75" w:rsidP="00AA5C75">
      <w:pPr>
        <w:pStyle w:val="Heading1"/>
      </w:pPr>
      <w:r>
        <w:t>Analysis of Results</w:t>
      </w:r>
    </w:p>
    <w:p w14:paraId="272B74C0" w14:textId="492AA565" w:rsidR="00AA5C75" w:rsidRDefault="00AA5C75" w:rsidP="00AA5C75"/>
    <w:p w14:paraId="699F27E8" w14:textId="1DB79FD5" w:rsidR="00F9739A" w:rsidRDefault="00AA5C75" w:rsidP="00AA5C75">
      <w:r>
        <w:tab/>
      </w:r>
      <w:r w:rsidR="00BD26C3">
        <w:t xml:space="preserve">A statistical analysis of </w:t>
      </w:r>
      <w:r w:rsidR="00DF4EEF">
        <w:t xml:space="preserve">the </w:t>
      </w:r>
      <w:r w:rsidR="00F06AAB">
        <w:t>hardened properties results for each mixture was conducted in order to determine which mix performed better with</w:t>
      </w:r>
      <w:r w:rsidR="00DF4EEF">
        <w:t xml:space="preserve"> a</w:t>
      </w:r>
      <w:r w:rsidR="00F06AAB">
        <w:t xml:space="preserve"> certain </w:t>
      </w:r>
      <w:r w:rsidR="00DF4EEF">
        <w:t xml:space="preserve">duration </w:t>
      </w:r>
      <w:r w:rsidR="00F06AAB">
        <w:t xml:space="preserve">of curing time. A statistical t-test with the assumption of unequal variances was conducted in order to accomplish this. When the absolute value of the calculated t-statistic was found to be less than the critical t-value at the corresponding degree of freedom, the results corresponding to this specific comparison were deemed to be not statistically different (NSD). When the absolute value of the calculated t-statistic was found to be greater than the critical t-value at the corresponding degree of freedom, the results corresponding to this specific comparison were deemed to be statistically significantly different (SSD). </w:t>
      </w:r>
      <w:r w:rsidR="00F9739A">
        <w:t>Once a comparison is deemed SSD, a closer look at the compar</w:t>
      </w:r>
      <w:r w:rsidR="00DF4EEF">
        <w:t>ed</w:t>
      </w:r>
      <w:r w:rsidR="00F9739A">
        <w:t xml:space="preserve"> mean</w:t>
      </w:r>
      <w:r w:rsidR="00DF4EEF">
        <w:t xml:space="preserve"> property values</w:t>
      </w:r>
      <w:r w:rsidR="00F9739A">
        <w:t xml:space="preserve"> is required to declare which is superior or inferior. </w:t>
      </w:r>
    </w:p>
    <w:p w14:paraId="1738B1E8" w14:textId="77777777" w:rsidR="00F9739A" w:rsidRDefault="00F9739A" w:rsidP="00AA5C75"/>
    <w:p w14:paraId="0417DDA6" w14:textId="24345464" w:rsidR="00AA5C75" w:rsidRDefault="00F9739A" w:rsidP="00AA5C75">
      <w:r>
        <w:tab/>
      </w:r>
      <w:r w:rsidR="001C420C">
        <w:t>The primary objective</w:t>
      </w:r>
      <w:r>
        <w:t xml:space="preserve"> of </w:t>
      </w:r>
      <w:r w:rsidR="001C420C">
        <w:t xml:space="preserve">this research involves </w:t>
      </w:r>
      <w:r>
        <w:t>comparing the results of different ages of curing within the same mixture</w:t>
      </w:r>
      <w:r w:rsidR="00E23AA2">
        <w:t xml:space="preserve"> as well as</w:t>
      </w:r>
      <w:r>
        <w:t xml:space="preserve"> show</w:t>
      </w:r>
      <w:r w:rsidR="00D82F3A">
        <w:t>ing</w:t>
      </w:r>
      <w:r>
        <w:t xml:space="preserve"> how different immersion curing periods </w:t>
      </w:r>
      <w:r w:rsidR="00DF4EEF">
        <w:t>a</w:t>
      </w:r>
      <w:r w:rsidR="00E23AA2">
        <w:t>ffect the hardened propert</w:t>
      </w:r>
      <w:r w:rsidR="004F1CB8">
        <w:t>y</w:t>
      </w:r>
      <w:r w:rsidR="00E23AA2">
        <w:t xml:space="preserve"> results</w:t>
      </w:r>
      <w:r w:rsidR="00735F15">
        <w:t>. These comparisons are shown in Tables 9, 10, and 11. A</w:t>
      </w:r>
      <w:r w:rsidR="001C420C">
        <w:t xml:space="preserve"> secondary objective </w:t>
      </w:r>
      <w:r w:rsidR="00735F15">
        <w:t xml:space="preserve">involves </w:t>
      </w:r>
      <w:r w:rsidR="001C420C">
        <w:t>comparing</w:t>
      </w:r>
      <w:r w:rsidR="00735F15">
        <w:t xml:space="preserve"> results from the same curing age but between the three different mixes, which shows how each mixture compares to each other under the same limited curing conditions. These comparisons are shown in Tables 12, 13, and 14. </w:t>
      </w:r>
    </w:p>
    <w:p w14:paraId="1F9EA5AE" w14:textId="2446CEC4" w:rsidR="00735F15" w:rsidRDefault="00735F15" w:rsidP="00AA5C75"/>
    <w:p w14:paraId="4B7704C7" w14:textId="090D7AB5" w:rsidR="00735F15" w:rsidRDefault="00735F15" w:rsidP="00AA5C75">
      <w:r>
        <w:tab/>
      </w:r>
      <w:r w:rsidR="001C420C">
        <w:t xml:space="preserve">All </w:t>
      </w:r>
      <w:r>
        <w:t xml:space="preserve">mixtures in this study have been used in previous studies and </w:t>
      </w:r>
      <w:r w:rsidR="00A82FA1">
        <w:t xml:space="preserve">were chosen for this </w:t>
      </w:r>
      <w:r w:rsidR="001C420C">
        <w:t>experiment</w:t>
      </w:r>
      <w:r w:rsidR="00A82FA1">
        <w:t xml:space="preserve"> to represent a range of poorest to best performing (Commercial 3500, Commercial ACI, CRED, respectfully). It is through research highlighted in the literature review that the hypothesis of samples being cured via immersion longer will perform better than samples that have not been cured via immersion for as long as that sample can be used. For Tables 9 through 12, green shaded cells represent an instance when </w:t>
      </w:r>
      <w:r w:rsidR="00126D14">
        <w:t xml:space="preserve">the comparison is SSD and the result which has been immersion cured for the smaller period of time is inferior. The percent difference in </w:t>
      </w:r>
      <w:r w:rsidR="00126D14">
        <w:lastRenderedPageBreak/>
        <w:t xml:space="preserve">means of the comparison is shown in these tables as well. Orange shaded cells represent an instance when the comparison is NSD. For Tables 13 through 15, green shaded cells represent an instance when the </w:t>
      </w:r>
      <w:r w:rsidR="00683DC0">
        <w:t>lower-ranking mix is SSD and inferior to the higher-ranking mix at that level of curing age. The percent difference in means of the comparison is shown in these tables as well. Orange shaded cells represent an instance when the comparison is NSD.</w:t>
      </w:r>
    </w:p>
    <w:p w14:paraId="667F3E6A" w14:textId="3A8A4AF7" w:rsidR="00683DC0" w:rsidRDefault="00683DC0" w:rsidP="00AA5C75"/>
    <w:p w14:paraId="32695ED5" w14:textId="0A0582EF" w:rsidR="00683DC0" w:rsidRDefault="00683DC0" w:rsidP="00007B2F">
      <w:pPr>
        <w:jc w:val="center"/>
      </w:pPr>
      <w:r w:rsidRPr="00683DC0">
        <w:rPr>
          <w:b/>
        </w:rPr>
        <w:t>Table 9.</w:t>
      </w:r>
      <w:r>
        <w:t xml:space="preserve"> Statistical Comparison of SR Results Within Each Mixture</w:t>
      </w:r>
    </w:p>
    <w:p w14:paraId="1F08686B" w14:textId="0000E57F" w:rsidR="00683DC0" w:rsidRDefault="00683DC0" w:rsidP="00683DC0">
      <w:pPr>
        <w:jc w:val="center"/>
      </w:pPr>
    </w:p>
    <w:tbl>
      <w:tblPr>
        <w:tblW w:w="7840" w:type="dxa"/>
        <w:jc w:val="center"/>
        <w:tblLook w:val="04A0" w:firstRow="1" w:lastRow="0" w:firstColumn="1" w:lastColumn="0" w:noHBand="0" w:noVBand="1"/>
      </w:tblPr>
      <w:tblGrid>
        <w:gridCol w:w="1390"/>
        <w:gridCol w:w="1104"/>
        <w:gridCol w:w="1056"/>
        <w:gridCol w:w="2160"/>
        <w:gridCol w:w="1104"/>
        <w:gridCol w:w="1056"/>
      </w:tblGrid>
      <w:tr w:rsidR="00BF3417" w:rsidRPr="00BF3417" w14:paraId="358D388C" w14:textId="77777777" w:rsidTr="00BF3417">
        <w:trPr>
          <w:trHeight w:val="315"/>
          <w:jc w:val="center"/>
        </w:trPr>
        <w:tc>
          <w:tcPr>
            <w:tcW w:w="13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D26A6F5"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Comparison</w:t>
            </w:r>
          </w:p>
        </w:tc>
        <w:tc>
          <w:tcPr>
            <w:tcW w:w="21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EDFBC6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3500</w:t>
            </w:r>
          </w:p>
        </w:tc>
        <w:tc>
          <w:tcPr>
            <w:tcW w:w="2160" w:type="dxa"/>
            <w:tcBorders>
              <w:top w:val="single" w:sz="12" w:space="0" w:color="auto"/>
              <w:left w:val="nil"/>
              <w:bottom w:val="single" w:sz="4" w:space="0" w:color="auto"/>
              <w:right w:val="single" w:sz="4" w:space="0" w:color="auto"/>
            </w:tcBorders>
            <w:shd w:val="clear" w:color="auto" w:fill="auto"/>
            <w:noWrap/>
            <w:vAlign w:val="center"/>
            <w:hideMark/>
          </w:tcPr>
          <w:p w14:paraId="084A91A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ACI</w:t>
            </w:r>
          </w:p>
        </w:tc>
        <w:tc>
          <w:tcPr>
            <w:tcW w:w="2160"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2FC1B6C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CRED</w:t>
            </w:r>
          </w:p>
        </w:tc>
      </w:tr>
      <w:tr w:rsidR="00BF3417" w:rsidRPr="00BF3417" w14:paraId="0C12F976" w14:textId="77777777" w:rsidTr="00BF3417">
        <w:trPr>
          <w:trHeight w:val="630"/>
          <w:jc w:val="center"/>
        </w:trPr>
        <w:tc>
          <w:tcPr>
            <w:tcW w:w="1360" w:type="dxa"/>
            <w:tcBorders>
              <w:top w:val="nil"/>
              <w:left w:val="single" w:sz="12" w:space="0" w:color="auto"/>
              <w:bottom w:val="single" w:sz="4" w:space="0" w:color="auto"/>
              <w:right w:val="single" w:sz="4" w:space="0" w:color="auto"/>
            </w:tcBorders>
            <w:shd w:val="clear" w:color="auto" w:fill="auto"/>
            <w:vAlign w:val="center"/>
            <w:hideMark/>
          </w:tcPr>
          <w:p w14:paraId="05BF274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3 Days</w:t>
            </w:r>
          </w:p>
        </w:tc>
        <w:tc>
          <w:tcPr>
            <w:tcW w:w="1104" w:type="dxa"/>
            <w:tcBorders>
              <w:top w:val="nil"/>
              <w:left w:val="nil"/>
              <w:bottom w:val="single" w:sz="4" w:space="0" w:color="auto"/>
              <w:right w:val="single" w:sz="4" w:space="0" w:color="auto"/>
            </w:tcBorders>
            <w:shd w:val="clear" w:color="000000" w:fill="00B050"/>
            <w:noWrap/>
            <w:vAlign w:val="center"/>
            <w:hideMark/>
          </w:tcPr>
          <w:p w14:paraId="1153AA0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51AE044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-12.4%</w:t>
            </w:r>
          </w:p>
        </w:tc>
        <w:tc>
          <w:tcPr>
            <w:tcW w:w="2160" w:type="dxa"/>
            <w:tcBorders>
              <w:top w:val="single" w:sz="4" w:space="0" w:color="auto"/>
              <w:left w:val="nil"/>
              <w:bottom w:val="single" w:sz="4" w:space="0" w:color="auto"/>
              <w:right w:val="single" w:sz="4" w:space="0" w:color="000000"/>
            </w:tcBorders>
            <w:shd w:val="clear" w:color="000000" w:fill="FFC000"/>
            <w:noWrap/>
            <w:vAlign w:val="center"/>
            <w:hideMark/>
          </w:tcPr>
          <w:p w14:paraId="1BE7648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2160" w:type="dxa"/>
            <w:gridSpan w:val="2"/>
            <w:tcBorders>
              <w:top w:val="single" w:sz="4" w:space="0" w:color="auto"/>
              <w:left w:val="nil"/>
              <w:bottom w:val="single" w:sz="4" w:space="0" w:color="auto"/>
              <w:right w:val="single" w:sz="12" w:space="0" w:color="auto"/>
            </w:tcBorders>
            <w:shd w:val="clear" w:color="000000" w:fill="FFC000"/>
            <w:noWrap/>
            <w:vAlign w:val="center"/>
            <w:hideMark/>
          </w:tcPr>
          <w:p w14:paraId="17073F45"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r>
      <w:tr w:rsidR="00BF3417" w:rsidRPr="00BF3417" w14:paraId="5607F595" w14:textId="77777777" w:rsidTr="00BF3417">
        <w:trPr>
          <w:trHeight w:val="630"/>
          <w:jc w:val="center"/>
        </w:trPr>
        <w:tc>
          <w:tcPr>
            <w:tcW w:w="1360" w:type="dxa"/>
            <w:tcBorders>
              <w:top w:val="nil"/>
              <w:left w:val="single" w:sz="12" w:space="0" w:color="auto"/>
              <w:bottom w:val="single" w:sz="4" w:space="0" w:color="auto"/>
              <w:right w:val="single" w:sz="4" w:space="0" w:color="auto"/>
            </w:tcBorders>
            <w:shd w:val="clear" w:color="auto" w:fill="auto"/>
            <w:vAlign w:val="center"/>
            <w:hideMark/>
          </w:tcPr>
          <w:p w14:paraId="4EF8CA9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7 Days</w:t>
            </w:r>
          </w:p>
        </w:tc>
        <w:tc>
          <w:tcPr>
            <w:tcW w:w="1104" w:type="dxa"/>
            <w:tcBorders>
              <w:top w:val="nil"/>
              <w:left w:val="nil"/>
              <w:bottom w:val="single" w:sz="4" w:space="0" w:color="auto"/>
              <w:right w:val="single" w:sz="4" w:space="0" w:color="auto"/>
            </w:tcBorders>
            <w:shd w:val="clear" w:color="000000" w:fill="00B050"/>
            <w:noWrap/>
            <w:vAlign w:val="center"/>
            <w:hideMark/>
          </w:tcPr>
          <w:p w14:paraId="398172A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3617478E"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-22.7%</w:t>
            </w:r>
          </w:p>
        </w:tc>
        <w:tc>
          <w:tcPr>
            <w:tcW w:w="2160" w:type="dxa"/>
            <w:tcBorders>
              <w:top w:val="single" w:sz="4" w:space="0" w:color="auto"/>
              <w:left w:val="nil"/>
              <w:bottom w:val="single" w:sz="4" w:space="0" w:color="auto"/>
              <w:right w:val="single" w:sz="4" w:space="0" w:color="000000"/>
            </w:tcBorders>
            <w:shd w:val="clear" w:color="000000" w:fill="FFC000"/>
            <w:noWrap/>
            <w:vAlign w:val="center"/>
            <w:hideMark/>
          </w:tcPr>
          <w:p w14:paraId="3620EDD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4" w:space="0" w:color="auto"/>
              <w:right w:val="single" w:sz="4" w:space="0" w:color="auto"/>
            </w:tcBorders>
            <w:shd w:val="clear" w:color="000000" w:fill="00B050"/>
            <w:noWrap/>
            <w:vAlign w:val="center"/>
            <w:hideMark/>
          </w:tcPr>
          <w:p w14:paraId="285180D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12" w:space="0" w:color="auto"/>
            </w:tcBorders>
            <w:shd w:val="clear" w:color="000000" w:fill="00B050"/>
            <w:noWrap/>
            <w:vAlign w:val="center"/>
            <w:hideMark/>
          </w:tcPr>
          <w:p w14:paraId="59C7836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-5.3%</w:t>
            </w:r>
          </w:p>
        </w:tc>
      </w:tr>
      <w:tr w:rsidR="00BF3417" w:rsidRPr="00BF3417" w14:paraId="051755BD" w14:textId="77777777" w:rsidTr="00BF3417">
        <w:trPr>
          <w:trHeight w:val="630"/>
          <w:jc w:val="center"/>
        </w:trPr>
        <w:tc>
          <w:tcPr>
            <w:tcW w:w="1360" w:type="dxa"/>
            <w:tcBorders>
              <w:top w:val="nil"/>
              <w:left w:val="single" w:sz="12" w:space="0" w:color="auto"/>
              <w:bottom w:val="single" w:sz="4" w:space="0" w:color="auto"/>
              <w:right w:val="single" w:sz="4" w:space="0" w:color="auto"/>
            </w:tcBorders>
            <w:shd w:val="clear" w:color="auto" w:fill="auto"/>
            <w:vAlign w:val="center"/>
            <w:hideMark/>
          </w:tcPr>
          <w:p w14:paraId="0A652AB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6623D92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084DF1D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-28.0%</w:t>
            </w:r>
          </w:p>
        </w:tc>
        <w:tc>
          <w:tcPr>
            <w:tcW w:w="2160" w:type="dxa"/>
            <w:tcBorders>
              <w:top w:val="single" w:sz="4" w:space="0" w:color="auto"/>
              <w:left w:val="nil"/>
              <w:bottom w:val="single" w:sz="4" w:space="0" w:color="auto"/>
              <w:right w:val="single" w:sz="4" w:space="0" w:color="000000"/>
            </w:tcBorders>
            <w:shd w:val="clear" w:color="000000" w:fill="FFC000"/>
            <w:noWrap/>
            <w:vAlign w:val="center"/>
            <w:hideMark/>
          </w:tcPr>
          <w:p w14:paraId="31430AE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4" w:space="0" w:color="auto"/>
              <w:right w:val="single" w:sz="4" w:space="0" w:color="auto"/>
            </w:tcBorders>
            <w:shd w:val="clear" w:color="000000" w:fill="00B050"/>
            <w:noWrap/>
            <w:vAlign w:val="center"/>
            <w:hideMark/>
          </w:tcPr>
          <w:p w14:paraId="74057B2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12" w:space="0" w:color="auto"/>
            </w:tcBorders>
            <w:shd w:val="clear" w:color="000000" w:fill="00B050"/>
            <w:noWrap/>
            <w:vAlign w:val="center"/>
            <w:hideMark/>
          </w:tcPr>
          <w:p w14:paraId="1151AAE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-9.8%</w:t>
            </w:r>
          </w:p>
        </w:tc>
      </w:tr>
      <w:tr w:rsidR="00BF3417" w:rsidRPr="00BF3417" w14:paraId="5C48B240" w14:textId="77777777" w:rsidTr="00BF3417">
        <w:trPr>
          <w:trHeight w:val="630"/>
          <w:jc w:val="center"/>
        </w:trPr>
        <w:tc>
          <w:tcPr>
            <w:tcW w:w="1360" w:type="dxa"/>
            <w:tcBorders>
              <w:top w:val="nil"/>
              <w:left w:val="single" w:sz="12" w:space="0" w:color="auto"/>
              <w:bottom w:val="single" w:sz="4" w:space="0" w:color="auto"/>
              <w:right w:val="single" w:sz="4" w:space="0" w:color="auto"/>
            </w:tcBorders>
            <w:shd w:val="clear" w:color="auto" w:fill="auto"/>
            <w:vAlign w:val="center"/>
            <w:hideMark/>
          </w:tcPr>
          <w:p w14:paraId="6B40EF0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7 Days</w:t>
            </w:r>
          </w:p>
        </w:tc>
        <w:tc>
          <w:tcPr>
            <w:tcW w:w="1104" w:type="dxa"/>
            <w:tcBorders>
              <w:top w:val="nil"/>
              <w:left w:val="nil"/>
              <w:bottom w:val="single" w:sz="4" w:space="0" w:color="auto"/>
              <w:right w:val="single" w:sz="4" w:space="0" w:color="auto"/>
            </w:tcBorders>
            <w:shd w:val="clear" w:color="000000" w:fill="00B050"/>
            <w:noWrap/>
            <w:vAlign w:val="center"/>
            <w:hideMark/>
          </w:tcPr>
          <w:p w14:paraId="351DCDC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536D4CF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-9.2%</w:t>
            </w:r>
          </w:p>
        </w:tc>
        <w:tc>
          <w:tcPr>
            <w:tcW w:w="2160" w:type="dxa"/>
            <w:tcBorders>
              <w:top w:val="single" w:sz="4" w:space="0" w:color="auto"/>
              <w:left w:val="nil"/>
              <w:bottom w:val="single" w:sz="4" w:space="0" w:color="auto"/>
              <w:right w:val="single" w:sz="4" w:space="0" w:color="000000"/>
            </w:tcBorders>
            <w:shd w:val="clear" w:color="000000" w:fill="FFC000"/>
            <w:noWrap/>
            <w:vAlign w:val="center"/>
            <w:hideMark/>
          </w:tcPr>
          <w:p w14:paraId="232DDC7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4" w:space="0" w:color="auto"/>
              <w:right w:val="single" w:sz="4" w:space="0" w:color="auto"/>
            </w:tcBorders>
            <w:shd w:val="clear" w:color="000000" w:fill="00B050"/>
            <w:noWrap/>
            <w:vAlign w:val="center"/>
            <w:hideMark/>
          </w:tcPr>
          <w:p w14:paraId="316ED6E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12" w:space="0" w:color="auto"/>
            </w:tcBorders>
            <w:shd w:val="clear" w:color="000000" w:fill="00B050"/>
            <w:noWrap/>
            <w:vAlign w:val="center"/>
            <w:hideMark/>
          </w:tcPr>
          <w:p w14:paraId="043765C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-6.7%</w:t>
            </w:r>
          </w:p>
        </w:tc>
      </w:tr>
      <w:tr w:rsidR="00BF3417" w:rsidRPr="00BF3417" w14:paraId="5FCD7F35" w14:textId="77777777" w:rsidTr="00BF3417">
        <w:trPr>
          <w:trHeight w:val="630"/>
          <w:jc w:val="center"/>
        </w:trPr>
        <w:tc>
          <w:tcPr>
            <w:tcW w:w="1360" w:type="dxa"/>
            <w:tcBorders>
              <w:top w:val="nil"/>
              <w:left w:val="single" w:sz="12" w:space="0" w:color="auto"/>
              <w:bottom w:val="single" w:sz="4" w:space="0" w:color="auto"/>
              <w:right w:val="single" w:sz="4" w:space="0" w:color="auto"/>
            </w:tcBorders>
            <w:shd w:val="clear" w:color="auto" w:fill="auto"/>
            <w:vAlign w:val="center"/>
            <w:hideMark/>
          </w:tcPr>
          <w:p w14:paraId="6BEB201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363BAA5D"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2A0383A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-13.9%</w:t>
            </w:r>
          </w:p>
        </w:tc>
        <w:tc>
          <w:tcPr>
            <w:tcW w:w="2160" w:type="dxa"/>
            <w:tcBorders>
              <w:top w:val="single" w:sz="4" w:space="0" w:color="auto"/>
              <w:left w:val="nil"/>
              <w:bottom w:val="single" w:sz="4" w:space="0" w:color="auto"/>
              <w:right w:val="single" w:sz="4" w:space="0" w:color="000000"/>
            </w:tcBorders>
            <w:shd w:val="clear" w:color="000000" w:fill="FFC000"/>
            <w:noWrap/>
            <w:vAlign w:val="center"/>
            <w:hideMark/>
          </w:tcPr>
          <w:p w14:paraId="63DF988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4" w:space="0" w:color="auto"/>
              <w:right w:val="single" w:sz="4" w:space="0" w:color="auto"/>
            </w:tcBorders>
            <w:shd w:val="clear" w:color="000000" w:fill="00B050"/>
            <w:noWrap/>
            <w:vAlign w:val="center"/>
            <w:hideMark/>
          </w:tcPr>
          <w:p w14:paraId="13EA7517"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12" w:space="0" w:color="auto"/>
            </w:tcBorders>
            <w:shd w:val="clear" w:color="000000" w:fill="00B050"/>
            <w:noWrap/>
            <w:vAlign w:val="center"/>
            <w:hideMark/>
          </w:tcPr>
          <w:p w14:paraId="249AC03C"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-11.2%</w:t>
            </w:r>
          </w:p>
        </w:tc>
      </w:tr>
      <w:tr w:rsidR="00BF3417" w:rsidRPr="00BF3417" w14:paraId="015D94D1" w14:textId="77777777" w:rsidTr="00BF3417">
        <w:trPr>
          <w:trHeight w:val="630"/>
          <w:jc w:val="center"/>
        </w:trPr>
        <w:tc>
          <w:tcPr>
            <w:tcW w:w="1360" w:type="dxa"/>
            <w:tcBorders>
              <w:top w:val="nil"/>
              <w:left w:val="single" w:sz="12" w:space="0" w:color="auto"/>
              <w:bottom w:val="single" w:sz="12" w:space="0" w:color="auto"/>
              <w:right w:val="single" w:sz="4" w:space="0" w:color="auto"/>
            </w:tcBorders>
            <w:shd w:val="clear" w:color="auto" w:fill="auto"/>
            <w:vAlign w:val="center"/>
            <w:hideMark/>
          </w:tcPr>
          <w:p w14:paraId="6996040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7 Days vs 14 Days</w:t>
            </w:r>
          </w:p>
        </w:tc>
        <w:tc>
          <w:tcPr>
            <w:tcW w:w="2160" w:type="dxa"/>
            <w:gridSpan w:val="2"/>
            <w:tcBorders>
              <w:top w:val="single" w:sz="4" w:space="0" w:color="auto"/>
              <w:left w:val="nil"/>
              <w:bottom w:val="single" w:sz="12" w:space="0" w:color="auto"/>
              <w:right w:val="single" w:sz="4" w:space="0" w:color="000000"/>
            </w:tcBorders>
            <w:shd w:val="clear" w:color="000000" w:fill="FFC000"/>
            <w:noWrap/>
            <w:vAlign w:val="center"/>
            <w:hideMark/>
          </w:tcPr>
          <w:p w14:paraId="3B261A8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2160" w:type="dxa"/>
            <w:tcBorders>
              <w:top w:val="single" w:sz="4" w:space="0" w:color="auto"/>
              <w:left w:val="nil"/>
              <w:bottom w:val="single" w:sz="12" w:space="0" w:color="auto"/>
              <w:right w:val="single" w:sz="4" w:space="0" w:color="000000"/>
            </w:tcBorders>
            <w:shd w:val="clear" w:color="000000" w:fill="FFC000"/>
            <w:noWrap/>
            <w:vAlign w:val="center"/>
            <w:hideMark/>
          </w:tcPr>
          <w:p w14:paraId="3FD367A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12" w:space="0" w:color="auto"/>
              <w:right w:val="single" w:sz="4" w:space="0" w:color="auto"/>
            </w:tcBorders>
            <w:shd w:val="clear" w:color="000000" w:fill="00B050"/>
            <w:noWrap/>
            <w:vAlign w:val="center"/>
            <w:hideMark/>
          </w:tcPr>
          <w:p w14:paraId="2C3D6D7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12" w:space="0" w:color="auto"/>
              <w:right w:val="single" w:sz="12" w:space="0" w:color="auto"/>
            </w:tcBorders>
            <w:shd w:val="clear" w:color="000000" w:fill="00B050"/>
            <w:noWrap/>
            <w:vAlign w:val="center"/>
            <w:hideMark/>
          </w:tcPr>
          <w:p w14:paraId="4B9DD768"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-4.2%</w:t>
            </w:r>
          </w:p>
        </w:tc>
      </w:tr>
    </w:tbl>
    <w:p w14:paraId="2384C3F5" w14:textId="77777777" w:rsidR="00683DC0" w:rsidRDefault="00683DC0" w:rsidP="00BF3417"/>
    <w:p w14:paraId="018BEED2" w14:textId="279283C8" w:rsidR="00683DC0" w:rsidRDefault="00683DC0" w:rsidP="00683DC0">
      <w:pPr>
        <w:jc w:val="center"/>
      </w:pPr>
      <w:r w:rsidRPr="00683DC0">
        <w:rPr>
          <w:b/>
        </w:rPr>
        <w:t>Table 10.</w:t>
      </w:r>
      <w:r>
        <w:t xml:space="preserve"> Statistical Comparison of Compressive Strength Results Within Each Mixture</w:t>
      </w:r>
    </w:p>
    <w:p w14:paraId="3AD65304" w14:textId="4B3BA59B" w:rsidR="00683DC0" w:rsidRDefault="00683DC0" w:rsidP="00683DC0">
      <w:pPr>
        <w:jc w:val="center"/>
      </w:pPr>
    </w:p>
    <w:tbl>
      <w:tblPr>
        <w:tblW w:w="7820" w:type="dxa"/>
        <w:jc w:val="center"/>
        <w:tblLook w:val="04A0" w:firstRow="1" w:lastRow="0" w:firstColumn="1" w:lastColumn="0" w:noHBand="0" w:noVBand="1"/>
      </w:tblPr>
      <w:tblGrid>
        <w:gridCol w:w="1390"/>
        <w:gridCol w:w="1104"/>
        <w:gridCol w:w="1056"/>
        <w:gridCol w:w="1104"/>
        <w:gridCol w:w="1056"/>
        <w:gridCol w:w="1022"/>
        <w:gridCol w:w="1138"/>
      </w:tblGrid>
      <w:tr w:rsidR="00BF3417" w:rsidRPr="00BF3417" w14:paraId="7B4E54E3" w14:textId="77777777" w:rsidTr="00BF3417">
        <w:trPr>
          <w:trHeight w:val="315"/>
          <w:jc w:val="center"/>
        </w:trPr>
        <w:tc>
          <w:tcPr>
            <w:tcW w:w="134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A7E0A7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Comparison</w:t>
            </w:r>
          </w:p>
        </w:tc>
        <w:tc>
          <w:tcPr>
            <w:tcW w:w="216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0064ABD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3500</w:t>
            </w:r>
          </w:p>
        </w:tc>
        <w:tc>
          <w:tcPr>
            <w:tcW w:w="216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311FF49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ACI</w:t>
            </w:r>
          </w:p>
        </w:tc>
        <w:tc>
          <w:tcPr>
            <w:tcW w:w="2160"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31F7679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CRED</w:t>
            </w:r>
          </w:p>
        </w:tc>
      </w:tr>
      <w:tr w:rsidR="00BF3417" w:rsidRPr="00BF3417" w14:paraId="4D6605A8" w14:textId="77777777" w:rsidTr="00BF3417">
        <w:trPr>
          <w:trHeight w:val="630"/>
          <w:jc w:val="center"/>
        </w:trPr>
        <w:tc>
          <w:tcPr>
            <w:tcW w:w="1340" w:type="dxa"/>
            <w:tcBorders>
              <w:top w:val="nil"/>
              <w:left w:val="single" w:sz="12" w:space="0" w:color="auto"/>
              <w:bottom w:val="single" w:sz="4" w:space="0" w:color="auto"/>
              <w:right w:val="single" w:sz="4" w:space="0" w:color="auto"/>
            </w:tcBorders>
            <w:shd w:val="clear" w:color="auto" w:fill="auto"/>
            <w:vAlign w:val="center"/>
            <w:hideMark/>
          </w:tcPr>
          <w:p w14:paraId="071B6F6C"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3 Days</w:t>
            </w:r>
          </w:p>
        </w:tc>
        <w:tc>
          <w:tcPr>
            <w:tcW w:w="1104" w:type="dxa"/>
            <w:tcBorders>
              <w:top w:val="nil"/>
              <w:left w:val="nil"/>
              <w:bottom w:val="single" w:sz="4" w:space="0" w:color="auto"/>
              <w:right w:val="single" w:sz="4" w:space="0" w:color="auto"/>
            </w:tcBorders>
            <w:shd w:val="clear" w:color="000000" w:fill="00B050"/>
            <w:noWrap/>
            <w:vAlign w:val="center"/>
            <w:hideMark/>
          </w:tcPr>
          <w:p w14:paraId="428E2587"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624274B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-20.7%</w:t>
            </w:r>
          </w:p>
        </w:tc>
        <w:tc>
          <w:tcPr>
            <w:tcW w:w="1104" w:type="dxa"/>
            <w:tcBorders>
              <w:top w:val="nil"/>
              <w:left w:val="nil"/>
              <w:bottom w:val="single" w:sz="4" w:space="0" w:color="auto"/>
              <w:right w:val="single" w:sz="4" w:space="0" w:color="auto"/>
            </w:tcBorders>
            <w:shd w:val="clear" w:color="000000" w:fill="00B050"/>
            <w:noWrap/>
            <w:vAlign w:val="center"/>
            <w:hideMark/>
          </w:tcPr>
          <w:p w14:paraId="2A84BE6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4188CC5C"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-14.6%</w:t>
            </w:r>
          </w:p>
        </w:tc>
        <w:tc>
          <w:tcPr>
            <w:tcW w:w="1022" w:type="dxa"/>
            <w:tcBorders>
              <w:top w:val="nil"/>
              <w:left w:val="nil"/>
              <w:bottom w:val="single" w:sz="4" w:space="0" w:color="auto"/>
              <w:right w:val="single" w:sz="4" w:space="0" w:color="auto"/>
            </w:tcBorders>
            <w:shd w:val="clear" w:color="000000" w:fill="00B050"/>
            <w:noWrap/>
            <w:vAlign w:val="center"/>
            <w:hideMark/>
          </w:tcPr>
          <w:p w14:paraId="3814AA95"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0BE0E2B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-8.50%</w:t>
            </w:r>
          </w:p>
        </w:tc>
      </w:tr>
      <w:tr w:rsidR="00BF3417" w:rsidRPr="00BF3417" w14:paraId="50AC5F90" w14:textId="77777777" w:rsidTr="00BF3417">
        <w:trPr>
          <w:trHeight w:val="630"/>
          <w:jc w:val="center"/>
        </w:trPr>
        <w:tc>
          <w:tcPr>
            <w:tcW w:w="1340" w:type="dxa"/>
            <w:tcBorders>
              <w:top w:val="nil"/>
              <w:left w:val="single" w:sz="12" w:space="0" w:color="auto"/>
              <w:bottom w:val="single" w:sz="4" w:space="0" w:color="auto"/>
              <w:right w:val="single" w:sz="4" w:space="0" w:color="auto"/>
            </w:tcBorders>
            <w:shd w:val="clear" w:color="auto" w:fill="auto"/>
            <w:vAlign w:val="center"/>
            <w:hideMark/>
          </w:tcPr>
          <w:p w14:paraId="5DF3D7F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7 Days</w:t>
            </w:r>
          </w:p>
        </w:tc>
        <w:tc>
          <w:tcPr>
            <w:tcW w:w="1104" w:type="dxa"/>
            <w:tcBorders>
              <w:top w:val="nil"/>
              <w:left w:val="nil"/>
              <w:bottom w:val="single" w:sz="4" w:space="0" w:color="auto"/>
              <w:right w:val="single" w:sz="4" w:space="0" w:color="auto"/>
            </w:tcBorders>
            <w:shd w:val="clear" w:color="000000" w:fill="00B050"/>
            <w:noWrap/>
            <w:vAlign w:val="center"/>
            <w:hideMark/>
          </w:tcPr>
          <w:p w14:paraId="6EB0378D"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795017D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-33.8%</w:t>
            </w:r>
          </w:p>
        </w:tc>
        <w:tc>
          <w:tcPr>
            <w:tcW w:w="1104" w:type="dxa"/>
            <w:tcBorders>
              <w:top w:val="nil"/>
              <w:left w:val="nil"/>
              <w:bottom w:val="single" w:sz="4" w:space="0" w:color="auto"/>
              <w:right w:val="single" w:sz="4" w:space="0" w:color="auto"/>
            </w:tcBorders>
            <w:shd w:val="clear" w:color="000000" w:fill="00B050"/>
            <w:noWrap/>
            <w:vAlign w:val="center"/>
            <w:hideMark/>
          </w:tcPr>
          <w:p w14:paraId="10AFFB5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4A48DBF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-26.2%</w:t>
            </w:r>
          </w:p>
        </w:tc>
        <w:tc>
          <w:tcPr>
            <w:tcW w:w="1022" w:type="dxa"/>
            <w:tcBorders>
              <w:top w:val="nil"/>
              <w:left w:val="nil"/>
              <w:bottom w:val="single" w:sz="4" w:space="0" w:color="auto"/>
              <w:right w:val="single" w:sz="4" w:space="0" w:color="auto"/>
            </w:tcBorders>
            <w:shd w:val="clear" w:color="000000" w:fill="00B050"/>
            <w:noWrap/>
            <w:vAlign w:val="center"/>
            <w:hideMark/>
          </w:tcPr>
          <w:p w14:paraId="682A890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42D7177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-19.10%</w:t>
            </w:r>
          </w:p>
        </w:tc>
      </w:tr>
      <w:tr w:rsidR="00BF3417" w:rsidRPr="00BF3417" w14:paraId="27D706E2" w14:textId="77777777" w:rsidTr="00BF3417">
        <w:trPr>
          <w:trHeight w:val="630"/>
          <w:jc w:val="center"/>
        </w:trPr>
        <w:tc>
          <w:tcPr>
            <w:tcW w:w="1340" w:type="dxa"/>
            <w:tcBorders>
              <w:top w:val="nil"/>
              <w:left w:val="single" w:sz="12" w:space="0" w:color="auto"/>
              <w:bottom w:val="single" w:sz="4" w:space="0" w:color="auto"/>
              <w:right w:val="single" w:sz="4" w:space="0" w:color="auto"/>
            </w:tcBorders>
            <w:shd w:val="clear" w:color="auto" w:fill="auto"/>
            <w:vAlign w:val="center"/>
            <w:hideMark/>
          </w:tcPr>
          <w:p w14:paraId="7FDAF2A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0D9BB44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295EF57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-43.0%</w:t>
            </w:r>
          </w:p>
        </w:tc>
        <w:tc>
          <w:tcPr>
            <w:tcW w:w="1104" w:type="dxa"/>
            <w:tcBorders>
              <w:top w:val="nil"/>
              <w:left w:val="nil"/>
              <w:bottom w:val="single" w:sz="4" w:space="0" w:color="auto"/>
              <w:right w:val="single" w:sz="4" w:space="0" w:color="auto"/>
            </w:tcBorders>
            <w:shd w:val="clear" w:color="000000" w:fill="00B050"/>
            <w:noWrap/>
            <w:vAlign w:val="center"/>
            <w:hideMark/>
          </w:tcPr>
          <w:p w14:paraId="3AFB6D2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5A9787B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-29.8%</w:t>
            </w:r>
          </w:p>
        </w:tc>
        <w:tc>
          <w:tcPr>
            <w:tcW w:w="1022" w:type="dxa"/>
            <w:tcBorders>
              <w:top w:val="nil"/>
              <w:left w:val="nil"/>
              <w:bottom w:val="single" w:sz="4" w:space="0" w:color="auto"/>
              <w:right w:val="single" w:sz="4" w:space="0" w:color="auto"/>
            </w:tcBorders>
            <w:shd w:val="clear" w:color="000000" w:fill="00B050"/>
            <w:noWrap/>
            <w:vAlign w:val="center"/>
            <w:hideMark/>
          </w:tcPr>
          <w:p w14:paraId="023DB4A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1447F6E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-22.90%</w:t>
            </w:r>
          </w:p>
        </w:tc>
      </w:tr>
      <w:tr w:rsidR="00BF3417" w:rsidRPr="00BF3417" w14:paraId="787EF54B" w14:textId="77777777" w:rsidTr="00BF3417">
        <w:trPr>
          <w:trHeight w:val="630"/>
          <w:jc w:val="center"/>
        </w:trPr>
        <w:tc>
          <w:tcPr>
            <w:tcW w:w="1340" w:type="dxa"/>
            <w:tcBorders>
              <w:top w:val="nil"/>
              <w:left w:val="single" w:sz="12" w:space="0" w:color="auto"/>
              <w:bottom w:val="single" w:sz="4" w:space="0" w:color="auto"/>
              <w:right w:val="single" w:sz="4" w:space="0" w:color="auto"/>
            </w:tcBorders>
            <w:shd w:val="clear" w:color="auto" w:fill="auto"/>
            <w:vAlign w:val="center"/>
            <w:hideMark/>
          </w:tcPr>
          <w:p w14:paraId="7F2FE137"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7 Days</w:t>
            </w:r>
          </w:p>
        </w:tc>
        <w:tc>
          <w:tcPr>
            <w:tcW w:w="1104" w:type="dxa"/>
            <w:tcBorders>
              <w:top w:val="nil"/>
              <w:left w:val="nil"/>
              <w:bottom w:val="single" w:sz="4" w:space="0" w:color="auto"/>
              <w:right w:val="single" w:sz="4" w:space="0" w:color="auto"/>
            </w:tcBorders>
            <w:shd w:val="clear" w:color="000000" w:fill="00B050"/>
            <w:noWrap/>
            <w:vAlign w:val="center"/>
            <w:hideMark/>
          </w:tcPr>
          <w:p w14:paraId="6AE0085E"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2FADF51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-10.9%</w:t>
            </w:r>
          </w:p>
        </w:tc>
        <w:tc>
          <w:tcPr>
            <w:tcW w:w="1104" w:type="dxa"/>
            <w:tcBorders>
              <w:top w:val="nil"/>
              <w:left w:val="nil"/>
              <w:bottom w:val="single" w:sz="4" w:space="0" w:color="auto"/>
              <w:right w:val="single" w:sz="4" w:space="0" w:color="auto"/>
            </w:tcBorders>
            <w:shd w:val="clear" w:color="000000" w:fill="00B050"/>
            <w:noWrap/>
            <w:vAlign w:val="center"/>
            <w:hideMark/>
          </w:tcPr>
          <w:p w14:paraId="3F9F247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574748F7"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-10.1%</w:t>
            </w:r>
          </w:p>
        </w:tc>
        <w:tc>
          <w:tcPr>
            <w:tcW w:w="1022" w:type="dxa"/>
            <w:tcBorders>
              <w:top w:val="nil"/>
              <w:left w:val="nil"/>
              <w:bottom w:val="single" w:sz="4" w:space="0" w:color="auto"/>
              <w:right w:val="single" w:sz="4" w:space="0" w:color="auto"/>
            </w:tcBorders>
            <w:shd w:val="clear" w:color="000000" w:fill="00B050"/>
            <w:noWrap/>
            <w:vAlign w:val="center"/>
            <w:hideMark/>
          </w:tcPr>
          <w:p w14:paraId="64C7141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445B2A9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-9.70%</w:t>
            </w:r>
          </w:p>
        </w:tc>
      </w:tr>
      <w:tr w:rsidR="00BF3417" w:rsidRPr="00BF3417" w14:paraId="74511D38" w14:textId="77777777" w:rsidTr="00BF3417">
        <w:trPr>
          <w:trHeight w:val="630"/>
          <w:jc w:val="center"/>
        </w:trPr>
        <w:tc>
          <w:tcPr>
            <w:tcW w:w="1340" w:type="dxa"/>
            <w:tcBorders>
              <w:top w:val="nil"/>
              <w:left w:val="single" w:sz="12" w:space="0" w:color="auto"/>
              <w:bottom w:val="single" w:sz="4" w:space="0" w:color="auto"/>
              <w:right w:val="single" w:sz="4" w:space="0" w:color="auto"/>
            </w:tcBorders>
            <w:shd w:val="clear" w:color="auto" w:fill="auto"/>
            <w:vAlign w:val="center"/>
            <w:hideMark/>
          </w:tcPr>
          <w:p w14:paraId="39952EC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2B30CEA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0A73C8C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-18.5%</w:t>
            </w:r>
          </w:p>
        </w:tc>
        <w:tc>
          <w:tcPr>
            <w:tcW w:w="1104" w:type="dxa"/>
            <w:tcBorders>
              <w:top w:val="nil"/>
              <w:left w:val="nil"/>
              <w:bottom w:val="single" w:sz="4" w:space="0" w:color="auto"/>
              <w:right w:val="single" w:sz="4" w:space="0" w:color="auto"/>
            </w:tcBorders>
            <w:shd w:val="clear" w:color="000000" w:fill="00B050"/>
            <w:noWrap/>
            <w:vAlign w:val="center"/>
            <w:hideMark/>
          </w:tcPr>
          <w:p w14:paraId="16E9A54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1C755BD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-13.3%</w:t>
            </w:r>
          </w:p>
        </w:tc>
        <w:tc>
          <w:tcPr>
            <w:tcW w:w="1022" w:type="dxa"/>
            <w:tcBorders>
              <w:top w:val="nil"/>
              <w:left w:val="nil"/>
              <w:bottom w:val="single" w:sz="4" w:space="0" w:color="auto"/>
              <w:right w:val="single" w:sz="4" w:space="0" w:color="auto"/>
            </w:tcBorders>
            <w:shd w:val="clear" w:color="000000" w:fill="00B050"/>
            <w:noWrap/>
            <w:vAlign w:val="center"/>
            <w:hideMark/>
          </w:tcPr>
          <w:p w14:paraId="5D5248C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38BE370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-13.20%</w:t>
            </w:r>
          </w:p>
        </w:tc>
      </w:tr>
      <w:tr w:rsidR="00BF3417" w:rsidRPr="00BF3417" w14:paraId="69336A3A" w14:textId="77777777" w:rsidTr="00BF3417">
        <w:trPr>
          <w:trHeight w:val="630"/>
          <w:jc w:val="center"/>
        </w:trPr>
        <w:tc>
          <w:tcPr>
            <w:tcW w:w="1340" w:type="dxa"/>
            <w:tcBorders>
              <w:top w:val="nil"/>
              <w:left w:val="single" w:sz="12" w:space="0" w:color="auto"/>
              <w:bottom w:val="single" w:sz="12" w:space="0" w:color="auto"/>
              <w:right w:val="single" w:sz="4" w:space="0" w:color="auto"/>
            </w:tcBorders>
            <w:shd w:val="clear" w:color="auto" w:fill="auto"/>
            <w:vAlign w:val="center"/>
            <w:hideMark/>
          </w:tcPr>
          <w:p w14:paraId="66DAD0D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7 Days vs 14 Days</w:t>
            </w:r>
          </w:p>
        </w:tc>
        <w:tc>
          <w:tcPr>
            <w:tcW w:w="1104" w:type="dxa"/>
            <w:tcBorders>
              <w:top w:val="nil"/>
              <w:left w:val="nil"/>
              <w:bottom w:val="single" w:sz="12" w:space="0" w:color="auto"/>
              <w:right w:val="single" w:sz="4" w:space="0" w:color="auto"/>
            </w:tcBorders>
            <w:shd w:val="clear" w:color="000000" w:fill="00B050"/>
            <w:noWrap/>
            <w:vAlign w:val="center"/>
            <w:hideMark/>
          </w:tcPr>
          <w:p w14:paraId="738AF70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12" w:space="0" w:color="auto"/>
              <w:right w:val="single" w:sz="4" w:space="0" w:color="auto"/>
            </w:tcBorders>
            <w:shd w:val="clear" w:color="000000" w:fill="00B050"/>
            <w:noWrap/>
            <w:vAlign w:val="center"/>
            <w:hideMark/>
          </w:tcPr>
          <w:p w14:paraId="3534FFAC"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-6.8%</w:t>
            </w:r>
          </w:p>
        </w:tc>
        <w:tc>
          <w:tcPr>
            <w:tcW w:w="2160" w:type="dxa"/>
            <w:gridSpan w:val="2"/>
            <w:tcBorders>
              <w:top w:val="single" w:sz="4" w:space="0" w:color="auto"/>
              <w:left w:val="nil"/>
              <w:bottom w:val="single" w:sz="12" w:space="0" w:color="auto"/>
              <w:right w:val="single" w:sz="4" w:space="0" w:color="000000"/>
            </w:tcBorders>
            <w:shd w:val="clear" w:color="000000" w:fill="FFC000"/>
            <w:noWrap/>
            <w:vAlign w:val="center"/>
            <w:hideMark/>
          </w:tcPr>
          <w:p w14:paraId="4D4141D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2160" w:type="dxa"/>
            <w:gridSpan w:val="2"/>
            <w:tcBorders>
              <w:top w:val="single" w:sz="4" w:space="0" w:color="auto"/>
              <w:left w:val="nil"/>
              <w:bottom w:val="single" w:sz="12" w:space="0" w:color="auto"/>
              <w:right w:val="single" w:sz="12" w:space="0" w:color="auto"/>
            </w:tcBorders>
            <w:shd w:val="clear" w:color="000000" w:fill="FFC000"/>
            <w:noWrap/>
            <w:vAlign w:val="center"/>
            <w:hideMark/>
          </w:tcPr>
          <w:p w14:paraId="5B871B6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r>
    </w:tbl>
    <w:p w14:paraId="4A4D0D64" w14:textId="747F202A" w:rsidR="00683DC0" w:rsidRDefault="00683DC0" w:rsidP="00683DC0">
      <w:pPr>
        <w:jc w:val="center"/>
      </w:pPr>
    </w:p>
    <w:p w14:paraId="4C01D714" w14:textId="7DA502CA" w:rsidR="00BF3417" w:rsidRDefault="00BF3417" w:rsidP="00683DC0">
      <w:pPr>
        <w:jc w:val="center"/>
      </w:pPr>
    </w:p>
    <w:p w14:paraId="3E68E822" w14:textId="652934D0" w:rsidR="00BF3417" w:rsidRDefault="00BF3417" w:rsidP="00683DC0">
      <w:pPr>
        <w:jc w:val="center"/>
      </w:pPr>
    </w:p>
    <w:p w14:paraId="78DBFF34" w14:textId="6F193D07" w:rsidR="001C420C" w:rsidRDefault="001C420C" w:rsidP="00683DC0">
      <w:pPr>
        <w:jc w:val="center"/>
      </w:pPr>
    </w:p>
    <w:p w14:paraId="36473093" w14:textId="77777777" w:rsidR="0057047F" w:rsidRDefault="0057047F" w:rsidP="00683DC0">
      <w:pPr>
        <w:jc w:val="center"/>
      </w:pPr>
    </w:p>
    <w:p w14:paraId="25CF3F9D" w14:textId="2FF30B43" w:rsidR="00BF3417" w:rsidRDefault="00BF3417" w:rsidP="00683DC0">
      <w:pPr>
        <w:jc w:val="center"/>
      </w:pPr>
      <w:r w:rsidRPr="00BF3417">
        <w:rPr>
          <w:b/>
        </w:rPr>
        <w:lastRenderedPageBreak/>
        <w:t>Table 11.</w:t>
      </w:r>
      <w:r>
        <w:t xml:space="preserve"> Statistical Comparison of Tensile Strength Results Within Each Mixture</w:t>
      </w:r>
    </w:p>
    <w:p w14:paraId="1A03C463" w14:textId="1D91C28A" w:rsidR="00BF3417" w:rsidRDefault="00BF3417" w:rsidP="00683DC0">
      <w:pPr>
        <w:jc w:val="center"/>
      </w:pPr>
    </w:p>
    <w:tbl>
      <w:tblPr>
        <w:tblW w:w="8000" w:type="dxa"/>
        <w:jc w:val="center"/>
        <w:tblLook w:val="04A0" w:firstRow="1" w:lastRow="0" w:firstColumn="1" w:lastColumn="0" w:noHBand="0" w:noVBand="1"/>
      </w:tblPr>
      <w:tblGrid>
        <w:gridCol w:w="1520"/>
        <w:gridCol w:w="1104"/>
        <w:gridCol w:w="1056"/>
        <w:gridCol w:w="1104"/>
        <w:gridCol w:w="1056"/>
        <w:gridCol w:w="1022"/>
        <w:gridCol w:w="1138"/>
      </w:tblGrid>
      <w:tr w:rsidR="00BF3417" w:rsidRPr="00BF3417" w14:paraId="70FC266A" w14:textId="77777777" w:rsidTr="00BF3417">
        <w:trPr>
          <w:trHeight w:val="315"/>
          <w:jc w:val="center"/>
        </w:trPr>
        <w:tc>
          <w:tcPr>
            <w:tcW w:w="15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72A6E0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Comparison</w:t>
            </w:r>
          </w:p>
        </w:tc>
        <w:tc>
          <w:tcPr>
            <w:tcW w:w="216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11CBC98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3500</w:t>
            </w:r>
          </w:p>
        </w:tc>
        <w:tc>
          <w:tcPr>
            <w:tcW w:w="2160" w:type="dxa"/>
            <w:gridSpan w:val="2"/>
            <w:tcBorders>
              <w:top w:val="single" w:sz="12" w:space="0" w:color="auto"/>
              <w:left w:val="nil"/>
              <w:bottom w:val="single" w:sz="4" w:space="0" w:color="auto"/>
              <w:right w:val="single" w:sz="4" w:space="0" w:color="auto"/>
            </w:tcBorders>
            <w:shd w:val="clear" w:color="auto" w:fill="auto"/>
            <w:noWrap/>
            <w:vAlign w:val="bottom"/>
            <w:hideMark/>
          </w:tcPr>
          <w:p w14:paraId="51FE0DDD"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Commercial ACI</w:t>
            </w:r>
          </w:p>
        </w:tc>
        <w:tc>
          <w:tcPr>
            <w:tcW w:w="2160" w:type="dxa"/>
            <w:gridSpan w:val="2"/>
            <w:tcBorders>
              <w:top w:val="single" w:sz="12" w:space="0" w:color="auto"/>
              <w:left w:val="nil"/>
              <w:bottom w:val="single" w:sz="4" w:space="0" w:color="auto"/>
              <w:right w:val="single" w:sz="12" w:space="0" w:color="auto"/>
            </w:tcBorders>
            <w:shd w:val="clear" w:color="auto" w:fill="auto"/>
            <w:noWrap/>
            <w:vAlign w:val="bottom"/>
            <w:hideMark/>
          </w:tcPr>
          <w:p w14:paraId="1A66B36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CRED</w:t>
            </w:r>
          </w:p>
        </w:tc>
      </w:tr>
      <w:tr w:rsidR="00BF3417" w:rsidRPr="00BF3417" w14:paraId="3A5B64B0" w14:textId="77777777" w:rsidTr="00BF3417">
        <w:trPr>
          <w:trHeight w:val="630"/>
          <w:jc w:val="center"/>
        </w:trPr>
        <w:tc>
          <w:tcPr>
            <w:tcW w:w="1520" w:type="dxa"/>
            <w:tcBorders>
              <w:top w:val="nil"/>
              <w:left w:val="single" w:sz="12" w:space="0" w:color="auto"/>
              <w:bottom w:val="single" w:sz="4" w:space="0" w:color="auto"/>
              <w:right w:val="single" w:sz="4" w:space="0" w:color="auto"/>
            </w:tcBorders>
            <w:shd w:val="clear" w:color="auto" w:fill="auto"/>
            <w:vAlign w:val="center"/>
            <w:hideMark/>
          </w:tcPr>
          <w:p w14:paraId="145AA7B9"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3 Days</w:t>
            </w:r>
          </w:p>
        </w:tc>
        <w:tc>
          <w:tcPr>
            <w:tcW w:w="1104" w:type="dxa"/>
            <w:tcBorders>
              <w:top w:val="nil"/>
              <w:left w:val="nil"/>
              <w:bottom w:val="single" w:sz="4" w:space="0" w:color="auto"/>
              <w:right w:val="single" w:sz="4" w:space="0" w:color="auto"/>
            </w:tcBorders>
            <w:shd w:val="clear" w:color="000000" w:fill="00B050"/>
            <w:noWrap/>
            <w:vAlign w:val="center"/>
            <w:hideMark/>
          </w:tcPr>
          <w:p w14:paraId="74E1176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7A4AE6C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-23.3%</w:t>
            </w:r>
          </w:p>
        </w:tc>
        <w:tc>
          <w:tcPr>
            <w:tcW w:w="1104" w:type="dxa"/>
            <w:tcBorders>
              <w:top w:val="nil"/>
              <w:left w:val="nil"/>
              <w:bottom w:val="single" w:sz="4" w:space="0" w:color="auto"/>
              <w:right w:val="single" w:sz="4" w:space="0" w:color="auto"/>
            </w:tcBorders>
            <w:shd w:val="clear" w:color="000000" w:fill="00B050"/>
            <w:noWrap/>
            <w:vAlign w:val="center"/>
            <w:hideMark/>
          </w:tcPr>
          <w:p w14:paraId="2683B0DE"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2524E90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-12.8%</w:t>
            </w:r>
          </w:p>
        </w:tc>
        <w:tc>
          <w:tcPr>
            <w:tcW w:w="2160" w:type="dxa"/>
            <w:gridSpan w:val="2"/>
            <w:tcBorders>
              <w:top w:val="single" w:sz="4" w:space="0" w:color="auto"/>
              <w:left w:val="nil"/>
              <w:bottom w:val="single" w:sz="4" w:space="0" w:color="auto"/>
              <w:right w:val="single" w:sz="12" w:space="0" w:color="auto"/>
            </w:tcBorders>
            <w:shd w:val="clear" w:color="000000" w:fill="FFC000"/>
            <w:noWrap/>
            <w:vAlign w:val="center"/>
            <w:hideMark/>
          </w:tcPr>
          <w:p w14:paraId="140C63B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r>
      <w:tr w:rsidR="00BF3417" w:rsidRPr="00BF3417" w14:paraId="2A87EBE8" w14:textId="77777777" w:rsidTr="00BF3417">
        <w:trPr>
          <w:trHeight w:val="630"/>
          <w:jc w:val="center"/>
        </w:trPr>
        <w:tc>
          <w:tcPr>
            <w:tcW w:w="1520" w:type="dxa"/>
            <w:tcBorders>
              <w:top w:val="nil"/>
              <w:left w:val="single" w:sz="12" w:space="0" w:color="auto"/>
              <w:bottom w:val="single" w:sz="4" w:space="0" w:color="auto"/>
              <w:right w:val="single" w:sz="4" w:space="0" w:color="auto"/>
            </w:tcBorders>
            <w:shd w:val="clear" w:color="auto" w:fill="auto"/>
            <w:vAlign w:val="center"/>
            <w:hideMark/>
          </w:tcPr>
          <w:p w14:paraId="5F3286A8"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7 Days</w:t>
            </w:r>
          </w:p>
        </w:tc>
        <w:tc>
          <w:tcPr>
            <w:tcW w:w="1104" w:type="dxa"/>
            <w:tcBorders>
              <w:top w:val="nil"/>
              <w:left w:val="nil"/>
              <w:bottom w:val="single" w:sz="4" w:space="0" w:color="auto"/>
              <w:right w:val="single" w:sz="4" w:space="0" w:color="auto"/>
            </w:tcBorders>
            <w:shd w:val="clear" w:color="000000" w:fill="00B050"/>
            <w:noWrap/>
            <w:vAlign w:val="center"/>
            <w:hideMark/>
          </w:tcPr>
          <w:p w14:paraId="3064C94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25897D8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-32.0%</w:t>
            </w:r>
          </w:p>
        </w:tc>
        <w:tc>
          <w:tcPr>
            <w:tcW w:w="1104" w:type="dxa"/>
            <w:tcBorders>
              <w:top w:val="nil"/>
              <w:left w:val="nil"/>
              <w:bottom w:val="single" w:sz="4" w:space="0" w:color="auto"/>
              <w:right w:val="single" w:sz="4" w:space="0" w:color="auto"/>
            </w:tcBorders>
            <w:shd w:val="clear" w:color="000000" w:fill="00B050"/>
            <w:noWrap/>
            <w:vAlign w:val="center"/>
            <w:hideMark/>
          </w:tcPr>
          <w:p w14:paraId="26A0B53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7E55331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-12.8%</w:t>
            </w:r>
          </w:p>
        </w:tc>
        <w:tc>
          <w:tcPr>
            <w:tcW w:w="1022" w:type="dxa"/>
            <w:tcBorders>
              <w:top w:val="nil"/>
              <w:left w:val="nil"/>
              <w:bottom w:val="single" w:sz="4" w:space="0" w:color="auto"/>
              <w:right w:val="single" w:sz="4" w:space="0" w:color="auto"/>
            </w:tcBorders>
            <w:shd w:val="clear" w:color="000000" w:fill="00B050"/>
            <w:noWrap/>
            <w:vAlign w:val="center"/>
            <w:hideMark/>
          </w:tcPr>
          <w:p w14:paraId="25968620"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1AA44215"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-10.50%</w:t>
            </w:r>
          </w:p>
        </w:tc>
      </w:tr>
      <w:tr w:rsidR="00BF3417" w:rsidRPr="00BF3417" w14:paraId="71156F7C" w14:textId="77777777" w:rsidTr="00BF3417">
        <w:trPr>
          <w:trHeight w:val="630"/>
          <w:jc w:val="center"/>
        </w:trPr>
        <w:tc>
          <w:tcPr>
            <w:tcW w:w="1520" w:type="dxa"/>
            <w:tcBorders>
              <w:top w:val="nil"/>
              <w:left w:val="single" w:sz="12" w:space="0" w:color="auto"/>
              <w:bottom w:val="single" w:sz="4" w:space="0" w:color="auto"/>
              <w:right w:val="single" w:sz="4" w:space="0" w:color="auto"/>
            </w:tcBorders>
            <w:shd w:val="clear" w:color="auto" w:fill="auto"/>
            <w:vAlign w:val="center"/>
            <w:hideMark/>
          </w:tcPr>
          <w:p w14:paraId="3B71F9AD"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0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1E8425E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4EAE263E"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-36.0%</w:t>
            </w:r>
          </w:p>
        </w:tc>
        <w:tc>
          <w:tcPr>
            <w:tcW w:w="1104" w:type="dxa"/>
            <w:tcBorders>
              <w:top w:val="nil"/>
              <w:left w:val="nil"/>
              <w:bottom w:val="single" w:sz="4" w:space="0" w:color="auto"/>
              <w:right w:val="single" w:sz="4" w:space="0" w:color="auto"/>
            </w:tcBorders>
            <w:shd w:val="clear" w:color="000000" w:fill="00B050"/>
            <w:noWrap/>
            <w:vAlign w:val="center"/>
            <w:hideMark/>
          </w:tcPr>
          <w:p w14:paraId="09FDFBE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6FB4BB08"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-21.1%</w:t>
            </w:r>
          </w:p>
        </w:tc>
        <w:tc>
          <w:tcPr>
            <w:tcW w:w="1022" w:type="dxa"/>
            <w:tcBorders>
              <w:top w:val="nil"/>
              <w:left w:val="nil"/>
              <w:bottom w:val="single" w:sz="4" w:space="0" w:color="auto"/>
              <w:right w:val="single" w:sz="4" w:space="0" w:color="auto"/>
            </w:tcBorders>
            <w:shd w:val="clear" w:color="000000" w:fill="00B050"/>
            <w:noWrap/>
            <w:vAlign w:val="center"/>
            <w:hideMark/>
          </w:tcPr>
          <w:p w14:paraId="0378090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2EFE692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-17.40%</w:t>
            </w:r>
          </w:p>
        </w:tc>
      </w:tr>
      <w:tr w:rsidR="00BF3417" w:rsidRPr="00BF3417" w14:paraId="091AA4AB" w14:textId="77777777" w:rsidTr="00BF3417">
        <w:trPr>
          <w:trHeight w:val="630"/>
          <w:jc w:val="center"/>
        </w:trPr>
        <w:tc>
          <w:tcPr>
            <w:tcW w:w="1520" w:type="dxa"/>
            <w:tcBorders>
              <w:top w:val="nil"/>
              <w:left w:val="single" w:sz="12" w:space="0" w:color="auto"/>
              <w:bottom w:val="single" w:sz="4" w:space="0" w:color="auto"/>
              <w:right w:val="single" w:sz="4" w:space="0" w:color="auto"/>
            </w:tcBorders>
            <w:shd w:val="clear" w:color="auto" w:fill="auto"/>
            <w:vAlign w:val="center"/>
            <w:hideMark/>
          </w:tcPr>
          <w:p w14:paraId="5E62D238"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7 Days</w:t>
            </w:r>
          </w:p>
        </w:tc>
        <w:tc>
          <w:tcPr>
            <w:tcW w:w="216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1027970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216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59D96B23"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2160" w:type="dxa"/>
            <w:gridSpan w:val="2"/>
            <w:tcBorders>
              <w:top w:val="single" w:sz="4" w:space="0" w:color="auto"/>
              <w:left w:val="nil"/>
              <w:bottom w:val="single" w:sz="4" w:space="0" w:color="auto"/>
              <w:right w:val="single" w:sz="12" w:space="0" w:color="auto"/>
            </w:tcBorders>
            <w:shd w:val="clear" w:color="000000" w:fill="FFC000"/>
            <w:noWrap/>
            <w:vAlign w:val="center"/>
            <w:hideMark/>
          </w:tcPr>
          <w:p w14:paraId="04F0132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r>
      <w:tr w:rsidR="00BF3417" w:rsidRPr="00BF3417" w14:paraId="09D673F7" w14:textId="77777777" w:rsidTr="00BF3417">
        <w:trPr>
          <w:trHeight w:val="630"/>
          <w:jc w:val="center"/>
        </w:trPr>
        <w:tc>
          <w:tcPr>
            <w:tcW w:w="1520" w:type="dxa"/>
            <w:tcBorders>
              <w:top w:val="nil"/>
              <w:left w:val="single" w:sz="12" w:space="0" w:color="auto"/>
              <w:bottom w:val="single" w:sz="4" w:space="0" w:color="auto"/>
              <w:right w:val="single" w:sz="4" w:space="0" w:color="auto"/>
            </w:tcBorders>
            <w:shd w:val="clear" w:color="auto" w:fill="auto"/>
            <w:vAlign w:val="center"/>
            <w:hideMark/>
          </w:tcPr>
          <w:p w14:paraId="5E2BF92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3 Days vs 14 Days</w:t>
            </w:r>
          </w:p>
        </w:tc>
        <w:tc>
          <w:tcPr>
            <w:tcW w:w="1104" w:type="dxa"/>
            <w:tcBorders>
              <w:top w:val="nil"/>
              <w:left w:val="nil"/>
              <w:bottom w:val="single" w:sz="4" w:space="0" w:color="auto"/>
              <w:right w:val="single" w:sz="4" w:space="0" w:color="auto"/>
            </w:tcBorders>
            <w:shd w:val="clear" w:color="000000" w:fill="00B050"/>
            <w:noWrap/>
            <w:vAlign w:val="center"/>
            <w:hideMark/>
          </w:tcPr>
          <w:p w14:paraId="58014BFE"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44CD236B"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-10.3%</w:t>
            </w:r>
          </w:p>
        </w:tc>
        <w:tc>
          <w:tcPr>
            <w:tcW w:w="1104" w:type="dxa"/>
            <w:tcBorders>
              <w:top w:val="nil"/>
              <w:left w:val="nil"/>
              <w:bottom w:val="single" w:sz="4" w:space="0" w:color="auto"/>
              <w:right w:val="single" w:sz="4" w:space="0" w:color="auto"/>
            </w:tcBorders>
            <w:shd w:val="clear" w:color="000000" w:fill="00B050"/>
            <w:noWrap/>
            <w:vAlign w:val="center"/>
            <w:hideMark/>
          </w:tcPr>
          <w:p w14:paraId="0CD4990A"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4" w:space="0" w:color="auto"/>
              <w:right w:val="single" w:sz="4" w:space="0" w:color="auto"/>
            </w:tcBorders>
            <w:shd w:val="clear" w:color="000000" w:fill="00B050"/>
            <w:noWrap/>
            <w:vAlign w:val="center"/>
            <w:hideMark/>
          </w:tcPr>
          <w:p w14:paraId="52FFCDF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-7.4%</w:t>
            </w:r>
          </w:p>
        </w:tc>
        <w:tc>
          <w:tcPr>
            <w:tcW w:w="1022" w:type="dxa"/>
            <w:tcBorders>
              <w:top w:val="nil"/>
              <w:left w:val="nil"/>
              <w:bottom w:val="single" w:sz="4" w:space="0" w:color="auto"/>
              <w:right w:val="single" w:sz="4" w:space="0" w:color="auto"/>
            </w:tcBorders>
            <w:shd w:val="clear" w:color="000000" w:fill="00B050"/>
            <w:noWrap/>
            <w:vAlign w:val="center"/>
            <w:hideMark/>
          </w:tcPr>
          <w:p w14:paraId="3A8CE1C2"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138" w:type="dxa"/>
            <w:tcBorders>
              <w:top w:val="nil"/>
              <w:left w:val="nil"/>
              <w:bottom w:val="single" w:sz="4" w:space="0" w:color="auto"/>
              <w:right w:val="single" w:sz="12" w:space="0" w:color="auto"/>
            </w:tcBorders>
            <w:shd w:val="clear" w:color="000000" w:fill="00B050"/>
            <w:noWrap/>
            <w:vAlign w:val="center"/>
            <w:hideMark/>
          </w:tcPr>
          <w:p w14:paraId="49BD9A54"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-10.90%</w:t>
            </w:r>
          </w:p>
        </w:tc>
      </w:tr>
      <w:tr w:rsidR="00BF3417" w:rsidRPr="00BF3417" w14:paraId="2970F3DE" w14:textId="77777777" w:rsidTr="00BF3417">
        <w:trPr>
          <w:trHeight w:val="630"/>
          <w:jc w:val="center"/>
        </w:trPr>
        <w:tc>
          <w:tcPr>
            <w:tcW w:w="1520" w:type="dxa"/>
            <w:tcBorders>
              <w:top w:val="nil"/>
              <w:left w:val="single" w:sz="12" w:space="0" w:color="auto"/>
              <w:bottom w:val="single" w:sz="12" w:space="0" w:color="auto"/>
              <w:right w:val="single" w:sz="4" w:space="0" w:color="auto"/>
            </w:tcBorders>
            <w:shd w:val="clear" w:color="auto" w:fill="auto"/>
            <w:vAlign w:val="center"/>
            <w:hideMark/>
          </w:tcPr>
          <w:p w14:paraId="032B9058"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7 Days vs 14 Days</w:t>
            </w:r>
          </w:p>
        </w:tc>
        <w:tc>
          <w:tcPr>
            <w:tcW w:w="2160" w:type="dxa"/>
            <w:gridSpan w:val="2"/>
            <w:tcBorders>
              <w:top w:val="single" w:sz="4" w:space="0" w:color="auto"/>
              <w:left w:val="nil"/>
              <w:bottom w:val="single" w:sz="12" w:space="0" w:color="auto"/>
              <w:right w:val="single" w:sz="4" w:space="0" w:color="000000"/>
            </w:tcBorders>
            <w:shd w:val="clear" w:color="000000" w:fill="FFC000"/>
            <w:noWrap/>
            <w:vAlign w:val="center"/>
            <w:hideMark/>
          </w:tcPr>
          <w:p w14:paraId="394D29A1"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c>
          <w:tcPr>
            <w:tcW w:w="1104" w:type="dxa"/>
            <w:tcBorders>
              <w:top w:val="nil"/>
              <w:left w:val="nil"/>
              <w:bottom w:val="single" w:sz="12" w:space="0" w:color="auto"/>
              <w:right w:val="single" w:sz="4" w:space="0" w:color="auto"/>
            </w:tcBorders>
            <w:shd w:val="clear" w:color="000000" w:fill="00B050"/>
            <w:noWrap/>
            <w:vAlign w:val="center"/>
            <w:hideMark/>
          </w:tcPr>
          <w:p w14:paraId="6042DF07"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Inferior</w:t>
            </w:r>
          </w:p>
        </w:tc>
        <w:tc>
          <w:tcPr>
            <w:tcW w:w="1056" w:type="dxa"/>
            <w:tcBorders>
              <w:top w:val="nil"/>
              <w:left w:val="nil"/>
              <w:bottom w:val="single" w:sz="12" w:space="0" w:color="auto"/>
              <w:right w:val="single" w:sz="4" w:space="0" w:color="auto"/>
            </w:tcBorders>
            <w:shd w:val="clear" w:color="000000" w:fill="00B050"/>
            <w:noWrap/>
            <w:vAlign w:val="center"/>
            <w:hideMark/>
          </w:tcPr>
          <w:p w14:paraId="007302B6"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-7.4%</w:t>
            </w:r>
          </w:p>
        </w:tc>
        <w:tc>
          <w:tcPr>
            <w:tcW w:w="2160" w:type="dxa"/>
            <w:gridSpan w:val="2"/>
            <w:tcBorders>
              <w:top w:val="single" w:sz="4" w:space="0" w:color="auto"/>
              <w:left w:val="nil"/>
              <w:bottom w:val="single" w:sz="12" w:space="0" w:color="auto"/>
              <w:right w:val="single" w:sz="12" w:space="0" w:color="auto"/>
            </w:tcBorders>
            <w:shd w:val="clear" w:color="000000" w:fill="FFC000"/>
            <w:noWrap/>
            <w:vAlign w:val="center"/>
            <w:hideMark/>
          </w:tcPr>
          <w:p w14:paraId="573BBA8F" w14:textId="77777777" w:rsidR="00BF3417" w:rsidRPr="00BF3417" w:rsidRDefault="00BF3417" w:rsidP="00BF3417">
            <w:pPr>
              <w:contextualSpacing w:val="0"/>
              <w:jc w:val="center"/>
              <w:rPr>
                <w:rFonts w:eastAsia="Times New Roman" w:cs="Times New Roman"/>
                <w:color w:val="000000"/>
                <w:szCs w:val="24"/>
              </w:rPr>
            </w:pPr>
            <w:r w:rsidRPr="00BF3417">
              <w:rPr>
                <w:rFonts w:eastAsia="Times New Roman" w:cs="Times New Roman"/>
                <w:color w:val="000000"/>
                <w:szCs w:val="24"/>
              </w:rPr>
              <w:t>NSD</w:t>
            </w:r>
          </w:p>
        </w:tc>
      </w:tr>
    </w:tbl>
    <w:p w14:paraId="7BE0E0ED" w14:textId="2CD79C88" w:rsidR="00BF3417" w:rsidRDefault="00BF3417" w:rsidP="00683DC0">
      <w:pPr>
        <w:jc w:val="center"/>
      </w:pPr>
    </w:p>
    <w:p w14:paraId="669CD5C9" w14:textId="02738138" w:rsidR="00BF3417" w:rsidRDefault="005E6E72" w:rsidP="00683DC0">
      <w:pPr>
        <w:jc w:val="center"/>
      </w:pPr>
      <w:r w:rsidRPr="005E6E72">
        <w:rPr>
          <w:b/>
        </w:rPr>
        <w:t>Table 12.</w:t>
      </w:r>
      <w:r>
        <w:t xml:space="preserve"> Statistical Comparison of SR Results Within Curing Ages</w:t>
      </w:r>
    </w:p>
    <w:p w14:paraId="2430F8B8" w14:textId="05C2673E" w:rsidR="005E6E72" w:rsidRDefault="005E6E72" w:rsidP="00683DC0">
      <w:pPr>
        <w:jc w:val="center"/>
      </w:pPr>
    </w:p>
    <w:tbl>
      <w:tblPr>
        <w:tblW w:w="10615" w:type="dxa"/>
        <w:jc w:val="center"/>
        <w:tblLook w:val="04A0" w:firstRow="1" w:lastRow="0" w:firstColumn="1" w:lastColumn="0" w:noHBand="0" w:noVBand="1"/>
      </w:tblPr>
      <w:tblGrid>
        <w:gridCol w:w="2380"/>
        <w:gridCol w:w="949"/>
        <w:gridCol w:w="1076"/>
        <w:gridCol w:w="949"/>
        <w:gridCol w:w="1121"/>
        <w:gridCol w:w="949"/>
        <w:gridCol w:w="1121"/>
        <w:gridCol w:w="949"/>
        <w:gridCol w:w="1121"/>
      </w:tblGrid>
      <w:tr w:rsidR="005E6E72" w:rsidRPr="005E6E72" w14:paraId="37F7C767" w14:textId="77777777" w:rsidTr="00B03F86">
        <w:trPr>
          <w:trHeight w:val="315"/>
          <w:jc w:val="center"/>
        </w:trPr>
        <w:tc>
          <w:tcPr>
            <w:tcW w:w="23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F511DCF"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Comparison</w:t>
            </w:r>
          </w:p>
        </w:tc>
        <w:tc>
          <w:tcPr>
            <w:tcW w:w="8235" w:type="dxa"/>
            <w:gridSpan w:val="8"/>
            <w:tcBorders>
              <w:top w:val="single" w:sz="12" w:space="0" w:color="auto"/>
              <w:left w:val="nil"/>
              <w:bottom w:val="single" w:sz="4" w:space="0" w:color="auto"/>
              <w:right w:val="single" w:sz="12" w:space="0" w:color="auto"/>
            </w:tcBorders>
            <w:shd w:val="clear" w:color="auto" w:fill="auto"/>
            <w:noWrap/>
            <w:vAlign w:val="bottom"/>
            <w:hideMark/>
          </w:tcPr>
          <w:p w14:paraId="25F15FDF"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Curing Age (days)</w:t>
            </w:r>
          </w:p>
        </w:tc>
      </w:tr>
      <w:tr w:rsidR="005E6E72" w:rsidRPr="005E6E72" w14:paraId="7BB8FF63" w14:textId="77777777" w:rsidTr="00B03F86">
        <w:trPr>
          <w:trHeight w:val="315"/>
          <w:jc w:val="center"/>
        </w:trPr>
        <w:tc>
          <w:tcPr>
            <w:tcW w:w="2380" w:type="dxa"/>
            <w:vMerge/>
            <w:tcBorders>
              <w:top w:val="single" w:sz="4" w:space="0" w:color="auto"/>
              <w:left w:val="single" w:sz="12" w:space="0" w:color="auto"/>
              <w:bottom w:val="single" w:sz="4" w:space="0" w:color="auto"/>
              <w:right w:val="single" w:sz="4" w:space="0" w:color="auto"/>
            </w:tcBorders>
            <w:vAlign w:val="center"/>
            <w:hideMark/>
          </w:tcPr>
          <w:p w14:paraId="37A988A5" w14:textId="77777777" w:rsidR="005E6E72" w:rsidRPr="005E6E72" w:rsidRDefault="005E6E72" w:rsidP="005E6E72">
            <w:pPr>
              <w:contextualSpacing w:val="0"/>
              <w:rPr>
                <w:rFonts w:eastAsia="Times New Roman" w:cs="Times New Roman"/>
                <w:color w:val="000000"/>
                <w:szCs w:val="24"/>
              </w:rPr>
            </w:pPr>
          </w:p>
        </w:tc>
        <w:tc>
          <w:tcPr>
            <w:tcW w:w="20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EBEDB1"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0</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A91A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2219D"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7</w:t>
            </w:r>
          </w:p>
        </w:tc>
        <w:tc>
          <w:tcPr>
            <w:tcW w:w="2070" w:type="dxa"/>
            <w:gridSpan w:val="2"/>
            <w:tcBorders>
              <w:top w:val="single" w:sz="4" w:space="0" w:color="auto"/>
              <w:left w:val="nil"/>
              <w:bottom w:val="single" w:sz="4" w:space="0" w:color="auto"/>
              <w:right w:val="single" w:sz="12" w:space="0" w:color="auto"/>
            </w:tcBorders>
            <w:shd w:val="clear" w:color="auto" w:fill="auto"/>
            <w:noWrap/>
            <w:vAlign w:val="bottom"/>
            <w:hideMark/>
          </w:tcPr>
          <w:p w14:paraId="22504021"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14</w:t>
            </w:r>
          </w:p>
        </w:tc>
      </w:tr>
      <w:tr w:rsidR="005E6E72" w:rsidRPr="005E6E72" w14:paraId="4EBF5898"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032A6B2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Commercial ACI</w:t>
            </w:r>
          </w:p>
        </w:tc>
        <w:tc>
          <w:tcPr>
            <w:tcW w:w="949" w:type="dxa"/>
            <w:tcBorders>
              <w:top w:val="nil"/>
              <w:left w:val="nil"/>
              <w:bottom w:val="single" w:sz="4" w:space="0" w:color="auto"/>
              <w:right w:val="single" w:sz="4" w:space="0" w:color="auto"/>
            </w:tcBorders>
            <w:shd w:val="clear" w:color="000000" w:fill="00B050"/>
            <w:noWrap/>
            <w:vAlign w:val="center"/>
            <w:hideMark/>
          </w:tcPr>
          <w:p w14:paraId="0D5DB07B"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76" w:type="dxa"/>
            <w:tcBorders>
              <w:top w:val="nil"/>
              <w:left w:val="nil"/>
              <w:bottom w:val="single" w:sz="4" w:space="0" w:color="auto"/>
              <w:right w:val="single" w:sz="4" w:space="0" w:color="auto"/>
            </w:tcBorders>
            <w:shd w:val="clear" w:color="000000" w:fill="00B050"/>
            <w:noWrap/>
            <w:vAlign w:val="center"/>
            <w:hideMark/>
          </w:tcPr>
          <w:p w14:paraId="5E481515"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-22.7%</w:t>
            </w:r>
          </w:p>
        </w:tc>
        <w:tc>
          <w:tcPr>
            <w:tcW w:w="949" w:type="dxa"/>
            <w:tcBorders>
              <w:top w:val="nil"/>
              <w:left w:val="nil"/>
              <w:bottom w:val="single" w:sz="4" w:space="0" w:color="auto"/>
              <w:right w:val="single" w:sz="4" w:space="0" w:color="auto"/>
            </w:tcBorders>
            <w:shd w:val="clear" w:color="000000" w:fill="00B050"/>
            <w:noWrap/>
            <w:vAlign w:val="center"/>
            <w:hideMark/>
          </w:tcPr>
          <w:p w14:paraId="0E5DB28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4" w:space="0" w:color="auto"/>
              <w:right w:val="single" w:sz="4" w:space="0" w:color="auto"/>
            </w:tcBorders>
            <w:shd w:val="clear" w:color="000000" w:fill="00B050"/>
            <w:noWrap/>
            <w:vAlign w:val="center"/>
            <w:hideMark/>
          </w:tcPr>
          <w:p w14:paraId="3B96AE1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-11.7%</w:t>
            </w:r>
          </w:p>
        </w:tc>
        <w:tc>
          <w:tcPr>
            <w:tcW w:w="2070" w:type="dxa"/>
            <w:gridSpan w:val="2"/>
            <w:tcBorders>
              <w:top w:val="single" w:sz="4" w:space="0" w:color="auto"/>
              <w:left w:val="nil"/>
              <w:bottom w:val="single" w:sz="4" w:space="0" w:color="auto"/>
              <w:right w:val="single" w:sz="4" w:space="0" w:color="000000"/>
            </w:tcBorders>
            <w:shd w:val="clear" w:color="000000" w:fill="FFC000"/>
            <w:noWrap/>
            <w:vAlign w:val="center"/>
            <w:hideMark/>
          </w:tcPr>
          <w:p w14:paraId="1EA1D2BF"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NSD</w:t>
            </w:r>
          </w:p>
        </w:tc>
        <w:tc>
          <w:tcPr>
            <w:tcW w:w="2070" w:type="dxa"/>
            <w:gridSpan w:val="2"/>
            <w:tcBorders>
              <w:top w:val="single" w:sz="4" w:space="0" w:color="auto"/>
              <w:left w:val="nil"/>
              <w:bottom w:val="single" w:sz="4" w:space="0" w:color="auto"/>
              <w:right w:val="single" w:sz="12" w:space="0" w:color="auto"/>
            </w:tcBorders>
            <w:shd w:val="clear" w:color="000000" w:fill="FFC000"/>
            <w:noWrap/>
            <w:vAlign w:val="center"/>
            <w:hideMark/>
          </w:tcPr>
          <w:p w14:paraId="411E9ED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NSD</w:t>
            </w:r>
          </w:p>
        </w:tc>
      </w:tr>
      <w:tr w:rsidR="005E6E72" w:rsidRPr="005E6E72" w14:paraId="1872F821"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1DB6A08E"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CRED</w:t>
            </w:r>
          </w:p>
        </w:tc>
        <w:tc>
          <w:tcPr>
            <w:tcW w:w="949" w:type="dxa"/>
            <w:tcBorders>
              <w:top w:val="nil"/>
              <w:left w:val="nil"/>
              <w:bottom w:val="single" w:sz="4" w:space="0" w:color="auto"/>
              <w:right w:val="single" w:sz="4" w:space="0" w:color="auto"/>
            </w:tcBorders>
            <w:shd w:val="clear" w:color="000000" w:fill="00B050"/>
            <w:noWrap/>
            <w:vAlign w:val="center"/>
            <w:hideMark/>
          </w:tcPr>
          <w:p w14:paraId="023A1931"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76" w:type="dxa"/>
            <w:tcBorders>
              <w:top w:val="nil"/>
              <w:left w:val="nil"/>
              <w:bottom w:val="single" w:sz="4" w:space="0" w:color="auto"/>
              <w:right w:val="single" w:sz="4" w:space="0" w:color="auto"/>
            </w:tcBorders>
            <w:shd w:val="clear" w:color="000000" w:fill="00B050"/>
            <w:noWrap/>
            <w:vAlign w:val="center"/>
            <w:hideMark/>
          </w:tcPr>
          <w:p w14:paraId="09E529B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-205.3%</w:t>
            </w:r>
          </w:p>
        </w:tc>
        <w:tc>
          <w:tcPr>
            <w:tcW w:w="949" w:type="dxa"/>
            <w:tcBorders>
              <w:top w:val="nil"/>
              <w:left w:val="nil"/>
              <w:bottom w:val="single" w:sz="4" w:space="0" w:color="auto"/>
              <w:right w:val="single" w:sz="4" w:space="0" w:color="auto"/>
            </w:tcBorders>
            <w:shd w:val="clear" w:color="000000" w:fill="00B050"/>
            <w:noWrap/>
            <w:vAlign w:val="center"/>
            <w:hideMark/>
          </w:tcPr>
          <w:p w14:paraId="377E452C"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4" w:space="0" w:color="auto"/>
              <w:right w:val="single" w:sz="4" w:space="0" w:color="auto"/>
            </w:tcBorders>
            <w:shd w:val="clear" w:color="000000" w:fill="00B050"/>
            <w:noWrap/>
            <w:vAlign w:val="center"/>
            <w:hideMark/>
          </w:tcPr>
          <w:p w14:paraId="023084D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-168.1%</w:t>
            </w:r>
          </w:p>
        </w:tc>
        <w:tc>
          <w:tcPr>
            <w:tcW w:w="949" w:type="dxa"/>
            <w:tcBorders>
              <w:top w:val="nil"/>
              <w:left w:val="nil"/>
              <w:bottom w:val="single" w:sz="4" w:space="0" w:color="auto"/>
              <w:right w:val="single" w:sz="4" w:space="0" w:color="auto"/>
            </w:tcBorders>
            <w:shd w:val="clear" w:color="000000" w:fill="00B050"/>
            <w:noWrap/>
            <w:vAlign w:val="center"/>
            <w:hideMark/>
          </w:tcPr>
          <w:p w14:paraId="1A64EAD3"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4" w:space="0" w:color="auto"/>
              <w:right w:val="single" w:sz="4" w:space="0" w:color="auto"/>
            </w:tcBorders>
            <w:shd w:val="clear" w:color="000000" w:fill="00B050"/>
            <w:noWrap/>
            <w:vAlign w:val="center"/>
            <w:hideMark/>
          </w:tcPr>
          <w:p w14:paraId="2C91556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-161.9%</w:t>
            </w:r>
          </w:p>
        </w:tc>
        <w:tc>
          <w:tcPr>
            <w:tcW w:w="949" w:type="dxa"/>
            <w:tcBorders>
              <w:top w:val="nil"/>
              <w:left w:val="nil"/>
              <w:bottom w:val="single" w:sz="4" w:space="0" w:color="auto"/>
              <w:right w:val="single" w:sz="4" w:space="0" w:color="auto"/>
            </w:tcBorders>
            <w:shd w:val="clear" w:color="000000" w:fill="00B050"/>
            <w:noWrap/>
            <w:vAlign w:val="center"/>
            <w:hideMark/>
          </w:tcPr>
          <w:p w14:paraId="5E863C7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4" w:space="0" w:color="auto"/>
              <w:right w:val="single" w:sz="12" w:space="0" w:color="auto"/>
            </w:tcBorders>
            <w:shd w:val="clear" w:color="000000" w:fill="00B050"/>
            <w:noWrap/>
            <w:vAlign w:val="center"/>
            <w:hideMark/>
          </w:tcPr>
          <w:p w14:paraId="5ECA783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-161.7%</w:t>
            </w:r>
          </w:p>
        </w:tc>
      </w:tr>
      <w:tr w:rsidR="005E6E72" w:rsidRPr="005E6E72" w14:paraId="0E68E161" w14:textId="77777777" w:rsidTr="00B03F86">
        <w:trPr>
          <w:trHeight w:val="630"/>
          <w:jc w:val="center"/>
        </w:trPr>
        <w:tc>
          <w:tcPr>
            <w:tcW w:w="2380" w:type="dxa"/>
            <w:tcBorders>
              <w:top w:val="nil"/>
              <w:left w:val="single" w:sz="12" w:space="0" w:color="auto"/>
              <w:bottom w:val="single" w:sz="18" w:space="0" w:color="auto"/>
              <w:right w:val="single" w:sz="4" w:space="0" w:color="auto"/>
            </w:tcBorders>
            <w:shd w:val="clear" w:color="auto" w:fill="auto"/>
            <w:vAlign w:val="center"/>
            <w:hideMark/>
          </w:tcPr>
          <w:p w14:paraId="0DA5C02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ACI vs CRED</w:t>
            </w:r>
          </w:p>
        </w:tc>
        <w:tc>
          <w:tcPr>
            <w:tcW w:w="949" w:type="dxa"/>
            <w:tcBorders>
              <w:top w:val="nil"/>
              <w:left w:val="nil"/>
              <w:bottom w:val="single" w:sz="18" w:space="0" w:color="auto"/>
              <w:right w:val="single" w:sz="4" w:space="0" w:color="auto"/>
            </w:tcBorders>
            <w:shd w:val="clear" w:color="000000" w:fill="00B050"/>
            <w:noWrap/>
            <w:vAlign w:val="center"/>
            <w:hideMark/>
          </w:tcPr>
          <w:p w14:paraId="2AC9CB4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76" w:type="dxa"/>
            <w:tcBorders>
              <w:top w:val="nil"/>
              <w:left w:val="nil"/>
              <w:bottom w:val="single" w:sz="18" w:space="0" w:color="auto"/>
              <w:right w:val="single" w:sz="4" w:space="0" w:color="auto"/>
            </w:tcBorders>
            <w:shd w:val="clear" w:color="000000" w:fill="00B050"/>
            <w:noWrap/>
            <w:vAlign w:val="center"/>
            <w:hideMark/>
          </w:tcPr>
          <w:p w14:paraId="1A870E6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-148.8%</w:t>
            </w:r>
          </w:p>
        </w:tc>
        <w:tc>
          <w:tcPr>
            <w:tcW w:w="949" w:type="dxa"/>
            <w:tcBorders>
              <w:top w:val="nil"/>
              <w:left w:val="nil"/>
              <w:bottom w:val="single" w:sz="18" w:space="0" w:color="auto"/>
              <w:right w:val="single" w:sz="4" w:space="0" w:color="auto"/>
            </w:tcBorders>
            <w:shd w:val="clear" w:color="000000" w:fill="00B050"/>
            <w:noWrap/>
            <w:vAlign w:val="center"/>
            <w:hideMark/>
          </w:tcPr>
          <w:p w14:paraId="4A3F2E3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18" w:space="0" w:color="auto"/>
              <w:right w:val="single" w:sz="4" w:space="0" w:color="auto"/>
            </w:tcBorders>
            <w:shd w:val="clear" w:color="000000" w:fill="00B050"/>
            <w:noWrap/>
            <w:vAlign w:val="center"/>
            <w:hideMark/>
          </w:tcPr>
          <w:p w14:paraId="74DD2722"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-140.0%</w:t>
            </w:r>
          </w:p>
        </w:tc>
        <w:tc>
          <w:tcPr>
            <w:tcW w:w="949" w:type="dxa"/>
            <w:tcBorders>
              <w:top w:val="nil"/>
              <w:left w:val="nil"/>
              <w:bottom w:val="single" w:sz="18" w:space="0" w:color="auto"/>
              <w:right w:val="single" w:sz="4" w:space="0" w:color="auto"/>
            </w:tcBorders>
            <w:shd w:val="clear" w:color="000000" w:fill="00B050"/>
            <w:noWrap/>
            <w:vAlign w:val="center"/>
            <w:hideMark/>
          </w:tcPr>
          <w:p w14:paraId="633328CD"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18" w:space="0" w:color="auto"/>
              <w:right w:val="single" w:sz="4" w:space="0" w:color="auto"/>
            </w:tcBorders>
            <w:shd w:val="clear" w:color="000000" w:fill="00B050"/>
            <w:noWrap/>
            <w:vAlign w:val="center"/>
            <w:hideMark/>
          </w:tcPr>
          <w:p w14:paraId="3CB13E9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-164.7%</w:t>
            </w:r>
          </w:p>
        </w:tc>
        <w:tc>
          <w:tcPr>
            <w:tcW w:w="949" w:type="dxa"/>
            <w:tcBorders>
              <w:top w:val="nil"/>
              <w:left w:val="nil"/>
              <w:bottom w:val="single" w:sz="18" w:space="0" w:color="auto"/>
              <w:right w:val="single" w:sz="4" w:space="0" w:color="auto"/>
            </w:tcBorders>
            <w:shd w:val="clear" w:color="000000" w:fill="00B050"/>
            <w:noWrap/>
            <w:vAlign w:val="center"/>
            <w:hideMark/>
          </w:tcPr>
          <w:p w14:paraId="76BA8223"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121" w:type="dxa"/>
            <w:tcBorders>
              <w:top w:val="nil"/>
              <w:left w:val="nil"/>
              <w:bottom w:val="single" w:sz="18" w:space="0" w:color="auto"/>
              <w:right w:val="single" w:sz="12" w:space="0" w:color="auto"/>
            </w:tcBorders>
            <w:shd w:val="clear" w:color="000000" w:fill="00B050"/>
            <w:noWrap/>
            <w:vAlign w:val="center"/>
            <w:hideMark/>
          </w:tcPr>
          <w:p w14:paraId="6C1F78C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-155.7%</w:t>
            </w:r>
          </w:p>
        </w:tc>
      </w:tr>
    </w:tbl>
    <w:p w14:paraId="0DFF6914" w14:textId="7988EAB7" w:rsidR="005E6E72" w:rsidRDefault="005E6E72" w:rsidP="00683DC0">
      <w:pPr>
        <w:jc w:val="center"/>
      </w:pPr>
    </w:p>
    <w:p w14:paraId="14A16DA3" w14:textId="4CCF4755" w:rsidR="005E6E72" w:rsidRDefault="005E6E72" w:rsidP="00683DC0">
      <w:pPr>
        <w:jc w:val="center"/>
      </w:pPr>
      <w:r w:rsidRPr="005E6E72">
        <w:rPr>
          <w:b/>
        </w:rPr>
        <w:t>Table 13.</w:t>
      </w:r>
      <w:r>
        <w:t xml:space="preserve"> Statistical Comparison of Compressive Strength Results Within Curing Ages</w:t>
      </w:r>
    </w:p>
    <w:p w14:paraId="46F05415" w14:textId="0CD6790E" w:rsidR="005E6E72" w:rsidRDefault="005E6E72" w:rsidP="00683DC0">
      <w:pPr>
        <w:jc w:val="center"/>
      </w:pPr>
    </w:p>
    <w:tbl>
      <w:tblPr>
        <w:tblW w:w="10255" w:type="dxa"/>
        <w:jc w:val="center"/>
        <w:tblLook w:val="04A0" w:firstRow="1" w:lastRow="0" w:firstColumn="1" w:lastColumn="0" w:noHBand="0" w:noVBand="1"/>
      </w:tblPr>
      <w:tblGrid>
        <w:gridCol w:w="2380"/>
        <w:gridCol w:w="949"/>
        <w:gridCol w:w="986"/>
        <w:gridCol w:w="949"/>
        <w:gridCol w:w="1031"/>
        <w:gridCol w:w="949"/>
        <w:gridCol w:w="1031"/>
        <w:gridCol w:w="949"/>
        <w:gridCol w:w="1031"/>
      </w:tblGrid>
      <w:tr w:rsidR="005E6E72" w:rsidRPr="005E6E72" w14:paraId="6F3CAD27" w14:textId="77777777" w:rsidTr="00B03F86">
        <w:trPr>
          <w:trHeight w:val="315"/>
          <w:jc w:val="center"/>
        </w:trPr>
        <w:tc>
          <w:tcPr>
            <w:tcW w:w="23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A1F3065"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Comparison</w:t>
            </w:r>
          </w:p>
        </w:tc>
        <w:tc>
          <w:tcPr>
            <w:tcW w:w="7875" w:type="dxa"/>
            <w:gridSpan w:val="8"/>
            <w:tcBorders>
              <w:top w:val="single" w:sz="12" w:space="0" w:color="auto"/>
              <w:left w:val="nil"/>
              <w:bottom w:val="single" w:sz="4" w:space="0" w:color="auto"/>
              <w:right w:val="single" w:sz="12" w:space="0" w:color="auto"/>
            </w:tcBorders>
            <w:shd w:val="clear" w:color="auto" w:fill="auto"/>
            <w:noWrap/>
            <w:vAlign w:val="bottom"/>
            <w:hideMark/>
          </w:tcPr>
          <w:p w14:paraId="39904891"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Curing Age (days)</w:t>
            </w:r>
          </w:p>
        </w:tc>
      </w:tr>
      <w:tr w:rsidR="005E6E72" w:rsidRPr="005E6E72" w14:paraId="7983A8D7" w14:textId="77777777" w:rsidTr="00B03F86">
        <w:trPr>
          <w:trHeight w:val="315"/>
          <w:jc w:val="center"/>
        </w:trPr>
        <w:tc>
          <w:tcPr>
            <w:tcW w:w="2380" w:type="dxa"/>
            <w:vMerge/>
            <w:tcBorders>
              <w:top w:val="single" w:sz="4" w:space="0" w:color="auto"/>
              <w:left w:val="single" w:sz="12" w:space="0" w:color="auto"/>
              <w:bottom w:val="single" w:sz="4" w:space="0" w:color="auto"/>
              <w:right w:val="single" w:sz="4" w:space="0" w:color="auto"/>
            </w:tcBorders>
            <w:vAlign w:val="center"/>
            <w:hideMark/>
          </w:tcPr>
          <w:p w14:paraId="05CBA024" w14:textId="77777777" w:rsidR="005E6E72" w:rsidRPr="005E6E72" w:rsidRDefault="005E6E72" w:rsidP="005E6E72">
            <w:pPr>
              <w:contextualSpacing w:val="0"/>
              <w:rPr>
                <w:rFonts w:eastAsia="Times New Roman" w:cs="Times New Roman"/>
                <w:color w:val="000000"/>
                <w:szCs w:val="24"/>
              </w:rPr>
            </w:pPr>
          </w:p>
        </w:tc>
        <w:tc>
          <w:tcPr>
            <w:tcW w:w="1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B390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0</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56B07B"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D45B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7</w:t>
            </w:r>
          </w:p>
        </w:tc>
        <w:tc>
          <w:tcPr>
            <w:tcW w:w="1980" w:type="dxa"/>
            <w:gridSpan w:val="2"/>
            <w:tcBorders>
              <w:top w:val="single" w:sz="4" w:space="0" w:color="auto"/>
              <w:left w:val="nil"/>
              <w:bottom w:val="single" w:sz="4" w:space="0" w:color="auto"/>
              <w:right w:val="single" w:sz="12" w:space="0" w:color="auto"/>
            </w:tcBorders>
            <w:shd w:val="clear" w:color="auto" w:fill="auto"/>
            <w:noWrap/>
            <w:vAlign w:val="bottom"/>
            <w:hideMark/>
          </w:tcPr>
          <w:p w14:paraId="2228279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14</w:t>
            </w:r>
          </w:p>
        </w:tc>
      </w:tr>
      <w:tr w:rsidR="005E6E72" w:rsidRPr="005E6E72" w14:paraId="3806D11A"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4AF129E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Commercial ACI</w:t>
            </w:r>
          </w:p>
        </w:tc>
        <w:tc>
          <w:tcPr>
            <w:tcW w:w="949" w:type="dxa"/>
            <w:tcBorders>
              <w:top w:val="nil"/>
              <w:left w:val="nil"/>
              <w:bottom w:val="single" w:sz="4" w:space="0" w:color="auto"/>
              <w:right w:val="single" w:sz="4" w:space="0" w:color="auto"/>
            </w:tcBorders>
            <w:shd w:val="clear" w:color="000000" w:fill="00B050"/>
            <w:noWrap/>
            <w:vAlign w:val="center"/>
            <w:hideMark/>
          </w:tcPr>
          <w:p w14:paraId="20E16F0B"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4" w:space="0" w:color="auto"/>
              <w:right w:val="single" w:sz="4" w:space="0" w:color="auto"/>
            </w:tcBorders>
            <w:shd w:val="clear" w:color="000000" w:fill="00B050"/>
            <w:noWrap/>
            <w:vAlign w:val="center"/>
            <w:hideMark/>
          </w:tcPr>
          <w:p w14:paraId="036DB09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-33.6%</w:t>
            </w:r>
          </w:p>
        </w:tc>
        <w:tc>
          <w:tcPr>
            <w:tcW w:w="949" w:type="dxa"/>
            <w:tcBorders>
              <w:top w:val="nil"/>
              <w:left w:val="nil"/>
              <w:bottom w:val="single" w:sz="4" w:space="0" w:color="auto"/>
              <w:right w:val="single" w:sz="4" w:space="0" w:color="auto"/>
            </w:tcBorders>
            <w:shd w:val="clear" w:color="000000" w:fill="00B050"/>
            <w:noWrap/>
            <w:vAlign w:val="center"/>
            <w:hideMark/>
          </w:tcPr>
          <w:p w14:paraId="221C8885"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3BAE0CDD"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-26.8%</w:t>
            </w:r>
          </w:p>
        </w:tc>
        <w:tc>
          <w:tcPr>
            <w:tcW w:w="949" w:type="dxa"/>
            <w:tcBorders>
              <w:top w:val="nil"/>
              <w:left w:val="nil"/>
              <w:bottom w:val="single" w:sz="4" w:space="0" w:color="auto"/>
              <w:right w:val="single" w:sz="4" w:space="0" w:color="auto"/>
            </w:tcBorders>
            <w:shd w:val="clear" w:color="000000" w:fill="00B050"/>
            <w:noWrap/>
            <w:vAlign w:val="center"/>
            <w:hideMark/>
          </w:tcPr>
          <w:p w14:paraId="1F305D1E"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1D7111C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-25.9%</w:t>
            </w:r>
          </w:p>
        </w:tc>
        <w:tc>
          <w:tcPr>
            <w:tcW w:w="949" w:type="dxa"/>
            <w:tcBorders>
              <w:top w:val="nil"/>
              <w:left w:val="nil"/>
              <w:bottom w:val="single" w:sz="4" w:space="0" w:color="auto"/>
              <w:right w:val="single" w:sz="4" w:space="0" w:color="auto"/>
            </w:tcBorders>
            <w:shd w:val="clear" w:color="000000" w:fill="00B050"/>
            <w:noWrap/>
            <w:vAlign w:val="center"/>
            <w:hideMark/>
          </w:tcPr>
          <w:p w14:paraId="15C3DCE2"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12" w:space="0" w:color="auto"/>
            </w:tcBorders>
            <w:shd w:val="clear" w:color="000000" w:fill="00B050"/>
            <w:noWrap/>
            <w:vAlign w:val="center"/>
            <w:hideMark/>
          </w:tcPr>
          <w:p w14:paraId="15FD788F"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-21.3%</w:t>
            </w:r>
          </w:p>
        </w:tc>
      </w:tr>
      <w:tr w:rsidR="005E6E72" w:rsidRPr="005E6E72" w14:paraId="6B915A68"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7890B36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CRED</w:t>
            </w:r>
          </w:p>
        </w:tc>
        <w:tc>
          <w:tcPr>
            <w:tcW w:w="949" w:type="dxa"/>
            <w:tcBorders>
              <w:top w:val="nil"/>
              <w:left w:val="nil"/>
              <w:bottom w:val="single" w:sz="4" w:space="0" w:color="auto"/>
              <w:right w:val="single" w:sz="4" w:space="0" w:color="auto"/>
            </w:tcBorders>
            <w:shd w:val="clear" w:color="000000" w:fill="00B050"/>
            <w:noWrap/>
            <w:vAlign w:val="center"/>
            <w:hideMark/>
          </w:tcPr>
          <w:p w14:paraId="623F51E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4" w:space="0" w:color="auto"/>
              <w:right w:val="single" w:sz="4" w:space="0" w:color="auto"/>
            </w:tcBorders>
            <w:shd w:val="clear" w:color="000000" w:fill="00B050"/>
            <w:noWrap/>
            <w:vAlign w:val="center"/>
            <w:hideMark/>
          </w:tcPr>
          <w:p w14:paraId="323602E1"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-74.5%</w:t>
            </w:r>
          </w:p>
        </w:tc>
        <w:tc>
          <w:tcPr>
            <w:tcW w:w="949" w:type="dxa"/>
            <w:tcBorders>
              <w:top w:val="nil"/>
              <w:left w:val="nil"/>
              <w:bottom w:val="single" w:sz="4" w:space="0" w:color="auto"/>
              <w:right w:val="single" w:sz="4" w:space="0" w:color="auto"/>
            </w:tcBorders>
            <w:shd w:val="clear" w:color="000000" w:fill="00B050"/>
            <w:noWrap/>
            <w:vAlign w:val="center"/>
            <w:hideMark/>
          </w:tcPr>
          <w:p w14:paraId="5D19442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2D58AB3E"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-56.9%</w:t>
            </w:r>
          </w:p>
        </w:tc>
        <w:tc>
          <w:tcPr>
            <w:tcW w:w="949" w:type="dxa"/>
            <w:tcBorders>
              <w:top w:val="nil"/>
              <w:left w:val="nil"/>
              <w:bottom w:val="single" w:sz="4" w:space="0" w:color="auto"/>
              <w:right w:val="single" w:sz="4" w:space="0" w:color="auto"/>
            </w:tcBorders>
            <w:shd w:val="clear" w:color="000000" w:fill="00B050"/>
            <w:noWrap/>
            <w:vAlign w:val="center"/>
            <w:hideMark/>
          </w:tcPr>
          <w:p w14:paraId="3DAE34E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5F30516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-55.2%</w:t>
            </w:r>
          </w:p>
        </w:tc>
        <w:tc>
          <w:tcPr>
            <w:tcW w:w="949" w:type="dxa"/>
            <w:tcBorders>
              <w:top w:val="nil"/>
              <w:left w:val="nil"/>
              <w:bottom w:val="single" w:sz="4" w:space="0" w:color="auto"/>
              <w:right w:val="single" w:sz="4" w:space="0" w:color="auto"/>
            </w:tcBorders>
            <w:shd w:val="clear" w:color="000000" w:fill="00B050"/>
            <w:noWrap/>
            <w:vAlign w:val="center"/>
            <w:hideMark/>
          </w:tcPr>
          <w:p w14:paraId="5BB044FE"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12" w:space="0" w:color="auto"/>
            </w:tcBorders>
            <w:shd w:val="clear" w:color="000000" w:fill="00B050"/>
            <w:noWrap/>
            <w:vAlign w:val="center"/>
            <w:hideMark/>
          </w:tcPr>
          <w:p w14:paraId="1453BD4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-50.0%</w:t>
            </w:r>
          </w:p>
        </w:tc>
      </w:tr>
      <w:tr w:rsidR="005E6E72" w:rsidRPr="005E6E72" w14:paraId="413F133A" w14:textId="77777777" w:rsidTr="00B03F86">
        <w:trPr>
          <w:trHeight w:val="630"/>
          <w:jc w:val="center"/>
        </w:trPr>
        <w:tc>
          <w:tcPr>
            <w:tcW w:w="2380" w:type="dxa"/>
            <w:tcBorders>
              <w:top w:val="nil"/>
              <w:left w:val="single" w:sz="12" w:space="0" w:color="auto"/>
              <w:bottom w:val="single" w:sz="18" w:space="0" w:color="auto"/>
              <w:right w:val="single" w:sz="4" w:space="0" w:color="auto"/>
            </w:tcBorders>
            <w:shd w:val="clear" w:color="auto" w:fill="auto"/>
            <w:vAlign w:val="center"/>
            <w:hideMark/>
          </w:tcPr>
          <w:p w14:paraId="42462D2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ACI vs CRED</w:t>
            </w:r>
          </w:p>
        </w:tc>
        <w:tc>
          <w:tcPr>
            <w:tcW w:w="949" w:type="dxa"/>
            <w:tcBorders>
              <w:top w:val="nil"/>
              <w:left w:val="nil"/>
              <w:bottom w:val="single" w:sz="18" w:space="0" w:color="auto"/>
              <w:right w:val="single" w:sz="4" w:space="0" w:color="auto"/>
            </w:tcBorders>
            <w:shd w:val="clear" w:color="000000" w:fill="00B050"/>
            <w:noWrap/>
            <w:vAlign w:val="center"/>
            <w:hideMark/>
          </w:tcPr>
          <w:p w14:paraId="193F4E9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18" w:space="0" w:color="auto"/>
              <w:right w:val="single" w:sz="4" w:space="0" w:color="auto"/>
            </w:tcBorders>
            <w:shd w:val="clear" w:color="000000" w:fill="00B050"/>
            <w:noWrap/>
            <w:vAlign w:val="center"/>
            <w:hideMark/>
          </w:tcPr>
          <w:p w14:paraId="2CB6E8BF"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-30.6%</w:t>
            </w:r>
          </w:p>
        </w:tc>
        <w:tc>
          <w:tcPr>
            <w:tcW w:w="949" w:type="dxa"/>
            <w:tcBorders>
              <w:top w:val="nil"/>
              <w:left w:val="nil"/>
              <w:bottom w:val="single" w:sz="18" w:space="0" w:color="auto"/>
              <w:right w:val="single" w:sz="4" w:space="0" w:color="auto"/>
            </w:tcBorders>
            <w:shd w:val="clear" w:color="000000" w:fill="00B050"/>
            <w:noWrap/>
            <w:vAlign w:val="center"/>
            <w:hideMark/>
          </w:tcPr>
          <w:p w14:paraId="000BC4D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18" w:space="0" w:color="auto"/>
              <w:right w:val="single" w:sz="4" w:space="0" w:color="auto"/>
            </w:tcBorders>
            <w:shd w:val="clear" w:color="000000" w:fill="00B050"/>
            <w:noWrap/>
            <w:vAlign w:val="center"/>
            <w:hideMark/>
          </w:tcPr>
          <w:p w14:paraId="5E8A998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-23.7%</w:t>
            </w:r>
          </w:p>
        </w:tc>
        <w:tc>
          <w:tcPr>
            <w:tcW w:w="949" w:type="dxa"/>
            <w:tcBorders>
              <w:top w:val="nil"/>
              <w:left w:val="nil"/>
              <w:bottom w:val="single" w:sz="18" w:space="0" w:color="auto"/>
              <w:right w:val="single" w:sz="4" w:space="0" w:color="auto"/>
            </w:tcBorders>
            <w:shd w:val="clear" w:color="000000" w:fill="00B050"/>
            <w:noWrap/>
            <w:vAlign w:val="center"/>
            <w:hideMark/>
          </w:tcPr>
          <w:p w14:paraId="0630F02C"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18" w:space="0" w:color="auto"/>
              <w:right w:val="single" w:sz="4" w:space="0" w:color="auto"/>
            </w:tcBorders>
            <w:shd w:val="clear" w:color="000000" w:fill="00B050"/>
            <w:noWrap/>
            <w:vAlign w:val="center"/>
            <w:hideMark/>
          </w:tcPr>
          <w:p w14:paraId="1E7A691B"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-23.3%</w:t>
            </w:r>
          </w:p>
        </w:tc>
        <w:tc>
          <w:tcPr>
            <w:tcW w:w="949" w:type="dxa"/>
            <w:tcBorders>
              <w:top w:val="nil"/>
              <w:left w:val="nil"/>
              <w:bottom w:val="single" w:sz="18" w:space="0" w:color="auto"/>
              <w:right w:val="single" w:sz="4" w:space="0" w:color="auto"/>
            </w:tcBorders>
            <w:shd w:val="clear" w:color="000000" w:fill="00B050"/>
            <w:noWrap/>
            <w:vAlign w:val="center"/>
            <w:hideMark/>
          </w:tcPr>
          <w:p w14:paraId="591EEF3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18" w:space="0" w:color="auto"/>
              <w:right w:val="single" w:sz="12" w:space="0" w:color="auto"/>
            </w:tcBorders>
            <w:shd w:val="clear" w:color="000000" w:fill="00B050"/>
            <w:noWrap/>
            <w:vAlign w:val="center"/>
            <w:hideMark/>
          </w:tcPr>
          <w:p w14:paraId="12CC435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-23.7%</w:t>
            </w:r>
          </w:p>
        </w:tc>
      </w:tr>
    </w:tbl>
    <w:p w14:paraId="3A369A5D" w14:textId="107CC725" w:rsidR="00B03F86" w:rsidRDefault="00B03F86" w:rsidP="00007B2F">
      <w:pPr>
        <w:rPr>
          <w:b/>
        </w:rPr>
      </w:pPr>
    </w:p>
    <w:p w14:paraId="1DF09263" w14:textId="312C9F6E" w:rsidR="00007B2F" w:rsidRDefault="00007B2F" w:rsidP="00007B2F">
      <w:pPr>
        <w:rPr>
          <w:b/>
        </w:rPr>
      </w:pPr>
    </w:p>
    <w:p w14:paraId="17ED1309" w14:textId="7CFFEC19" w:rsidR="00007B2F" w:rsidRDefault="00007B2F" w:rsidP="00007B2F">
      <w:pPr>
        <w:rPr>
          <w:b/>
        </w:rPr>
      </w:pPr>
    </w:p>
    <w:p w14:paraId="01118541" w14:textId="77777777" w:rsidR="00007B2F" w:rsidRDefault="00007B2F" w:rsidP="00007B2F">
      <w:pPr>
        <w:rPr>
          <w:b/>
        </w:rPr>
      </w:pPr>
    </w:p>
    <w:p w14:paraId="505AFAFD" w14:textId="0D2AB38B" w:rsidR="005E6E72" w:rsidRDefault="005E6E72" w:rsidP="00683DC0">
      <w:pPr>
        <w:jc w:val="center"/>
      </w:pPr>
      <w:r w:rsidRPr="005E6E72">
        <w:rPr>
          <w:b/>
        </w:rPr>
        <w:lastRenderedPageBreak/>
        <w:t>Table 14.</w:t>
      </w:r>
      <w:r>
        <w:t xml:space="preserve"> Statistical Comparison of Tensile Strength Results Within Curing Ages</w:t>
      </w:r>
    </w:p>
    <w:p w14:paraId="0F772CF8" w14:textId="6A04E7CE" w:rsidR="005E6E72" w:rsidRDefault="005E6E72" w:rsidP="00683DC0">
      <w:pPr>
        <w:jc w:val="center"/>
      </w:pPr>
    </w:p>
    <w:tbl>
      <w:tblPr>
        <w:tblW w:w="10255" w:type="dxa"/>
        <w:jc w:val="center"/>
        <w:tblLook w:val="04A0" w:firstRow="1" w:lastRow="0" w:firstColumn="1" w:lastColumn="0" w:noHBand="0" w:noVBand="1"/>
      </w:tblPr>
      <w:tblGrid>
        <w:gridCol w:w="2380"/>
        <w:gridCol w:w="949"/>
        <w:gridCol w:w="986"/>
        <w:gridCol w:w="949"/>
        <w:gridCol w:w="1031"/>
        <w:gridCol w:w="949"/>
        <w:gridCol w:w="1031"/>
        <w:gridCol w:w="949"/>
        <w:gridCol w:w="1031"/>
      </w:tblGrid>
      <w:tr w:rsidR="005E6E72" w:rsidRPr="005E6E72" w14:paraId="56B8414C" w14:textId="77777777" w:rsidTr="00B03F86">
        <w:trPr>
          <w:trHeight w:val="315"/>
          <w:jc w:val="center"/>
        </w:trPr>
        <w:tc>
          <w:tcPr>
            <w:tcW w:w="23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B322B8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Comparison</w:t>
            </w:r>
          </w:p>
        </w:tc>
        <w:tc>
          <w:tcPr>
            <w:tcW w:w="7875" w:type="dxa"/>
            <w:gridSpan w:val="8"/>
            <w:tcBorders>
              <w:top w:val="single" w:sz="12" w:space="0" w:color="auto"/>
              <w:left w:val="nil"/>
              <w:bottom w:val="single" w:sz="4" w:space="0" w:color="auto"/>
              <w:right w:val="single" w:sz="12" w:space="0" w:color="auto"/>
            </w:tcBorders>
            <w:shd w:val="clear" w:color="auto" w:fill="auto"/>
            <w:noWrap/>
            <w:vAlign w:val="bottom"/>
            <w:hideMark/>
          </w:tcPr>
          <w:p w14:paraId="3EBC3E8B"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Curing Age (days)</w:t>
            </w:r>
          </w:p>
        </w:tc>
      </w:tr>
      <w:tr w:rsidR="005E6E72" w:rsidRPr="005E6E72" w14:paraId="3AA27FC5" w14:textId="77777777" w:rsidTr="00B03F86">
        <w:trPr>
          <w:trHeight w:val="315"/>
          <w:jc w:val="center"/>
        </w:trPr>
        <w:tc>
          <w:tcPr>
            <w:tcW w:w="2380" w:type="dxa"/>
            <w:vMerge/>
            <w:tcBorders>
              <w:top w:val="single" w:sz="4" w:space="0" w:color="auto"/>
              <w:left w:val="single" w:sz="12" w:space="0" w:color="auto"/>
              <w:bottom w:val="single" w:sz="4" w:space="0" w:color="auto"/>
              <w:right w:val="single" w:sz="4" w:space="0" w:color="auto"/>
            </w:tcBorders>
            <w:vAlign w:val="center"/>
            <w:hideMark/>
          </w:tcPr>
          <w:p w14:paraId="75ADE28A" w14:textId="77777777" w:rsidR="005E6E72" w:rsidRPr="005E6E72" w:rsidRDefault="005E6E72" w:rsidP="005E6E72">
            <w:pPr>
              <w:contextualSpacing w:val="0"/>
              <w:rPr>
                <w:rFonts w:eastAsia="Times New Roman" w:cs="Times New Roman"/>
                <w:color w:val="000000"/>
                <w:szCs w:val="24"/>
              </w:rPr>
            </w:pPr>
          </w:p>
        </w:tc>
        <w:tc>
          <w:tcPr>
            <w:tcW w:w="1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D8B17C"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0</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1DA482"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CED7C"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7</w:t>
            </w:r>
          </w:p>
        </w:tc>
        <w:tc>
          <w:tcPr>
            <w:tcW w:w="1980" w:type="dxa"/>
            <w:gridSpan w:val="2"/>
            <w:tcBorders>
              <w:top w:val="single" w:sz="4" w:space="0" w:color="auto"/>
              <w:left w:val="nil"/>
              <w:bottom w:val="single" w:sz="4" w:space="0" w:color="auto"/>
              <w:right w:val="single" w:sz="12" w:space="0" w:color="auto"/>
            </w:tcBorders>
            <w:shd w:val="clear" w:color="auto" w:fill="auto"/>
            <w:noWrap/>
            <w:vAlign w:val="bottom"/>
            <w:hideMark/>
          </w:tcPr>
          <w:p w14:paraId="1E6F9B3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14</w:t>
            </w:r>
          </w:p>
        </w:tc>
      </w:tr>
      <w:tr w:rsidR="005E6E72" w:rsidRPr="005E6E72" w14:paraId="39539404"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070C8CE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Commercial ACI</w:t>
            </w:r>
          </w:p>
        </w:tc>
        <w:tc>
          <w:tcPr>
            <w:tcW w:w="949" w:type="dxa"/>
            <w:tcBorders>
              <w:top w:val="nil"/>
              <w:left w:val="nil"/>
              <w:bottom w:val="single" w:sz="4" w:space="0" w:color="auto"/>
              <w:right w:val="single" w:sz="4" w:space="0" w:color="auto"/>
            </w:tcBorders>
            <w:shd w:val="clear" w:color="000000" w:fill="00B050"/>
            <w:noWrap/>
            <w:vAlign w:val="center"/>
            <w:hideMark/>
          </w:tcPr>
          <w:p w14:paraId="07860F5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4" w:space="0" w:color="auto"/>
              <w:right w:val="single" w:sz="4" w:space="0" w:color="auto"/>
            </w:tcBorders>
            <w:shd w:val="clear" w:color="000000" w:fill="00B050"/>
            <w:noWrap/>
            <w:vAlign w:val="center"/>
            <w:hideMark/>
          </w:tcPr>
          <w:p w14:paraId="3D07A13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-30.9%</w:t>
            </w:r>
          </w:p>
        </w:tc>
        <w:tc>
          <w:tcPr>
            <w:tcW w:w="949" w:type="dxa"/>
            <w:tcBorders>
              <w:top w:val="nil"/>
              <w:left w:val="nil"/>
              <w:bottom w:val="single" w:sz="4" w:space="0" w:color="auto"/>
              <w:right w:val="single" w:sz="4" w:space="0" w:color="auto"/>
            </w:tcBorders>
            <w:shd w:val="clear" w:color="000000" w:fill="00B050"/>
            <w:noWrap/>
            <w:vAlign w:val="center"/>
            <w:hideMark/>
          </w:tcPr>
          <w:p w14:paraId="68C0E40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4AF86543"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-19.8%</w:t>
            </w:r>
          </w:p>
        </w:tc>
        <w:tc>
          <w:tcPr>
            <w:tcW w:w="949" w:type="dxa"/>
            <w:tcBorders>
              <w:top w:val="nil"/>
              <w:left w:val="nil"/>
              <w:bottom w:val="single" w:sz="4" w:space="0" w:color="auto"/>
              <w:right w:val="single" w:sz="4" w:space="0" w:color="auto"/>
            </w:tcBorders>
            <w:shd w:val="clear" w:color="000000" w:fill="00B050"/>
            <w:noWrap/>
            <w:vAlign w:val="center"/>
            <w:hideMark/>
          </w:tcPr>
          <w:p w14:paraId="3651A63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75615A0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-11.8%</w:t>
            </w:r>
          </w:p>
        </w:tc>
        <w:tc>
          <w:tcPr>
            <w:tcW w:w="949" w:type="dxa"/>
            <w:tcBorders>
              <w:top w:val="nil"/>
              <w:left w:val="nil"/>
              <w:bottom w:val="single" w:sz="4" w:space="0" w:color="auto"/>
              <w:right w:val="single" w:sz="4" w:space="0" w:color="auto"/>
            </w:tcBorders>
            <w:shd w:val="clear" w:color="000000" w:fill="00B050"/>
            <w:noWrap/>
            <w:vAlign w:val="center"/>
            <w:hideMark/>
          </w:tcPr>
          <w:p w14:paraId="32C7892C"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12" w:space="0" w:color="auto"/>
            </w:tcBorders>
            <w:shd w:val="clear" w:color="000000" w:fill="00B050"/>
            <w:noWrap/>
            <w:vAlign w:val="center"/>
            <w:hideMark/>
          </w:tcPr>
          <w:p w14:paraId="2BE63387"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-16.6%</w:t>
            </w:r>
          </w:p>
        </w:tc>
      </w:tr>
      <w:tr w:rsidR="005E6E72" w:rsidRPr="005E6E72" w14:paraId="5FBFEC45" w14:textId="77777777" w:rsidTr="00B03F86">
        <w:trPr>
          <w:trHeight w:val="630"/>
          <w:jc w:val="center"/>
        </w:trPr>
        <w:tc>
          <w:tcPr>
            <w:tcW w:w="2380" w:type="dxa"/>
            <w:tcBorders>
              <w:top w:val="nil"/>
              <w:left w:val="single" w:sz="12" w:space="0" w:color="auto"/>
              <w:bottom w:val="single" w:sz="4" w:space="0" w:color="auto"/>
              <w:right w:val="single" w:sz="4" w:space="0" w:color="auto"/>
            </w:tcBorders>
            <w:shd w:val="clear" w:color="auto" w:fill="auto"/>
            <w:vAlign w:val="center"/>
            <w:hideMark/>
          </w:tcPr>
          <w:p w14:paraId="56622C5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3500 vs CRED</w:t>
            </w:r>
          </w:p>
        </w:tc>
        <w:tc>
          <w:tcPr>
            <w:tcW w:w="949" w:type="dxa"/>
            <w:tcBorders>
              <w:top w:val="nil"/>
              <w:left w:val="nil"/>
              <w:bottom w:val="single" w:sz="4" w:space="0" w:color="auto"/>
              <w:right w:val="single" w:sz="4" w:space="0" w:color="auto"/>
            </w:tcBorders>
            <w:shd w:val="clear" w:color="000000" w:fill="00B050"/>
            <w:noWrap/>
            <w:vAlign w:val="center"/>
            <w:hideMark/>
          </w:tcPr>
          <w:p w14:paraId="0F4C5CCE"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4" w:space="0" w:color="auto"/>
              <w:right w:val="single" w:sz="4" w:space="0" w:color="auto"/>
            </w:tcBorders>
            <w:shd w:val="clear" w:color="000000" w:fill="00B050"/>
            <w:noWrap/>
            <w:vAlign w:val="center"/>
            <w:hideMark/>
          </w:tcPr>
          <w:p w14:paraId="7F90F1B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-48.4%</w:t>
            </w:r>
          </w:p>
        </w:tc>
        <w:tc>
          <w:tcPr>
            <w:tcW w:w="949" w:type="dxa"/>
            <w:tcBorders>
              <w:top w:val="nil"/>
              <w:left w:val="nil"/>
              <w:bottom w:val="single" w:sz="4" w:space="0" w:color="auto"/>
              <w:right w:val="single" w:sz="4" w:space="0" w:color="auto"/>
            </w:tcBorders>
            <w:shd w:val="clear" w:color="000000" w:fill="00B050"/>
            <w:noWrap/>
            <w:vAlign w:val="center"/>
            <w:hideMark/>
          </w:tcPr>
          <w:p w14:paraId="76962A75"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79E7CC34"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-27.4%</w:t>
            </w:r>
          </w:p>
        </w:tc>
        <w:tc>
          <w:tcPr>
            <w:tcW w:w="949" w:type="dxa"/>
            <w:tcBorders>
              <w:top w:val="nil"/>
              <w:left w:val="nil"/>
              <w:bottom w:val="single" w:sz="4" w:space="0" w:color="auto"/>
              <w:right w:val="single" w:sz="4" w:space="0" w:color="auto"/>
            </w:tcBorders>
            <w:shd w:val="clear" w:color="000000" w:fill="00B050"/>
            <w:noWrap/>
            <w:vAlign w:val="center"/>
            <w:hideMark/>
          </w:tcPr>
          <w:p w14:paraId="4C91D0E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4" w:space="0" w:color="auto"/>
            </w:tcBorders>
            <w:shd w:val="clear" w:color="000000" w:fill="00B050"/>
            <w:noWrap/>
            <w:vAlign w:val="center"/>
            <w:hideMark/>
          </w:tcPr>
          <w:p w14:paraId="11087BC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-24.2%</w:t>
            </w:r>
          </w:p>
        </w:tc>
        <w:tc>
          <w:tcPr>
            <w:tcW w:w="949" w:type="dxa"/>
            <w:tcBorders>
              <w:top w:val="nil"/>
              <w:left w:val="nil"/>
              <w:bottom w:val="single" w:sz="4" w:space="0" w:color="auto"/>
              <w:right w:val="single" w:sz="4" w:space="0" w:color="auto"/>
            </w:tcBorders>
            <w:shd w:val="clear" w:color="000000" w:fill="00B050"/>
            <w:noWrap/>
            <w:vAlign w:val="center"/>
            <w:hideMark/>
          </w:tcPr>
          <w:p w14:paraId="0D8026F5"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4" w:space="0" w:color="auto"/>
              <w:right w:val="single" w:sz="12" w:space="0" w:color="auto"/>
            </w:tcBorders>
            <w:shd w:val="clear" w:color="000000" w:fill="00B050"/>
            <w:noWrap/>
            <w:vAlign w:val="center"/>
            <w:hideMark/>
          </w:tcPr>
          <w:p w14:paraId="08632CF2"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-28.1%</w:t>
            </w:r>
          </w:p>
        </w:tc>
      </w:tr>
      <w:tr w:rsidR="005E6E72" w:rsidRPr="005E6E72" w14:paraId="39A65EFE" w14:textId="77777777" w:rsidTr="00B03F86">
        <w:trPr>
          <w:trHeight w:val="630"/>
          <w:jc w:val="center"/>
        </w:trPr>
        <w:tc>
          <w:tcPr>
            <w:tcW w:w="2380" w:type="dxa"/>
            <w:tcBorders>
              <w:top w:val="nil"/>
              <w:left w:val="single" w:sz="12" w:space="0" w:color="auto"/>
              <w:bottom w:val="single" w:sz="18" w:space="0" w:color="auto"/>
              <w:right w:val="single" w:sz="4" w:space="0" w:color="auto"/>
            </w:tcBorders>
            <w:shd w:val="clear" w:color="auto" w:fill="auto"/>
            <w:vAlign w:val="center"/>
            <w:hideMark/>
          </w:tcPr>
          <w:p w14:paraId="60D80149"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Commercial ACI vs CRED</w:t>
            </w:r>
          </w:p>
        </w:tc>
        <w:tc>
          <w:tcPr>
            <w:tcW w:w="949" w:type="dxa"/>
            <w:tcBorders>
              <w:top w:val="nil"/>
              <w:left w:val="nil"/>
              <w:bottom w:val="single" w:sz="18" w:space="0" w:color="auto"/>
              <w:right w:val="single" w:sz="4" w:space="0" w:color="auto"/>
            </w:tcBorders>
            <w:shd w:val="clear" w:color="000000" w:fill="00B050"/>
            <w:noWrap/>
            <w:vAlign w:val="center"/>
            <w:hideMark/>
          </w:tcPr>
          <w:p w14:paraId="59B62EC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986" w:type="dxa"/>
            <w:tcBorders>
              <w:top w:val="nil"/>
              <w:left w:val="nil"/>
              <w:bottom w:val="single" w:sz="18" w:space="0" w:color="auto"/>
              <w:right w:val="single" w:sz="4" w:space="0" w:color="auto"/>
            </w:tcBorders>
            <w:shd w:val="clear" w:color="000000" w:fill="00B050"/>
            <w:noWrap/>
            <w:vAlign w:val="center"/>
            <w:hideMark/>
          </w:tcPr>
          <w:p w14:paraId="3D2D594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-13.3%</w:t>
            </w:r>
          </w:p>
        </w:tc>
        <w:tc>
          <w:tcPr>
            <w:tcW w:w="1980" w:type="dxa"/>
            <w:gridSpan w:val="2"/>
            <w:tcBorders>
              <w:top w:val="single" w:sz="4" w:space="0" w:color="auto"/>
              <w:left w:val="nil"/>
              <w:bottom w:val="single" w:sz="18" w:space="0" w:color="auto"/>
              <w:right w:val="single" w:sz="4" w:space="0" w:color="000000"/>
            </w:tcBorders>
            <w:shd w:val="clear" w:color="000000" w:fill="FFC000"/>
            <w:noWrap/>
            <w:vAlign w:val="center"/>
            <w:hideMark/>
          </w:tcPr>
          <w:p w14:paraId="0FC7534A"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NSD</w:t>
            </w:r>
          </w:p>
        </w:tc>
        <w:tc>
          <w:tcPr>
            <w:tcW w:w="949" w:type="dxa"/>
            <w:tcBorders>
              <w:top w:val="nil"/>
              <w:left w:val="nil"/>
              <w:bottom w:val="single" w:sz="18" w:space="0" w:color="auto"/>
              <w:right w:val="single" w:sz="4" w:space="0" w:color="auto"/>
            </w:tcBorders>
            <w:shd w:val="clear" w:color="000000" w:fill="00B050"/>
            <w:noWrap/>
            <w:vAlign w:val="center"/>
            <w:hideMark/>
          </w:tcPr>
          <w:p w14:paraId="6CD2E478"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18" w:space="0" w:color="auto"/>
              <w:right w:val="single" w:sz="4" w:space="0" w:color="auto"/>
            </w:tcBorders>
            <w:shd w:val="clear" w:color="000000" w:fill="00B050"/>
            <w:noWrap/>
            <w:vAlign w:val="center"/>
            <w:hideMark/>
          </w:tcPr>
          <w:p w14:paraId="7193BE5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-11.1%</w:t>
            </w:r>
          </w:p>
        </w:tc>
        <w:tc>
          <w:tcPr>
            <w:tcW w:w="949" w:type="dxa"/>
            <w:tcBorders>
              <w:top w:val="nil"/>
              <w:left w:val="nil"/>
              <w:bottom w:val="single" w:sz="18" w:space="0" w:color="auto"/>
              <w:right w:val="single" w:sz="4" w:space="0" w:color="auto"/>
            </w:tcBorders>
            <w:shd w:val="clear" w:color="000000" w:fill="00B050"/>
            <w:noWrap/>
            <w:vAlign w:val="center"/>
            <w:hideMark/>
          </w:tcPr>
          <w:p w14:paraId="4BF9D510"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Inferior</w:t>
            </w:r>
          </w:p>
        </w:tc>
        <w:tc>
          <w:tcPr>
            <w:tcW w:w="1031" w:type="dxa"/>
            <w:tcBorders>
              <w:top w:val="nil"/>
              <w:left w:val="nil"/>
              <w:bottom w:val="single" w:sz="18" w:space="0" w:color="auto"/>
              <w:right w:val="single" w:sz="12" w:space="0" w:color="auto"/>
            </w:tcBorders>
            <w:shd w:val="clear" w:color="000000" w:fill="00B050"/>
            <w:noWrap/>
            <w:vAlign w:val="center"/>
            <w:hideMark/>
          </w:tcPr>
          <w:p w14:paraId="4A6FAF56" w14:textId="77777777" w:rsidR="005E6E72" w:rsidRPr="005E6E72" w:rsidRDefault="005E6E72" w:rsidP="005E6E72">
            <w:pPr>
              <w:contextualSpacing w:val="0"/>
              <w:jc w:val="center"/>
              <w:rPr>
                <w:rFonts w:eastAsia="Times New Roman" w:cs="Times New Roman"/>
                <w:color w:val="000000"/>
                <w:szCs w:val="24"/>
              </w:rPr>
            </w:pPr>
            <w:r w:rsidRPr="005E6E72">
              <w:rPr>
                <w:rFonts w:eastAsia="Times New Roman" w:cs="Times New Roman"/>
                <w:color w:val="000000"/>
                <w:szCs w:val="24"/>
              </w:rPr>
              <w:t>-9.9%</w:t>
            </w:r>
          </w:p>
        </w:tc>
      </w:tr>
    </w:tbl>
    <w:p w14:paraId="3A5AB8E1" w14:textId="45736FCC" w:rsidR="00B03F86" w:rsidRDefault="00B03F86" w:rsidP="00B03F86"/>
    <w:p w14:paraId="7894B9B3" w14:textId="152CED48" w:rsidR="00B03F86" w:rsidRDefault="00B03F86" w:rsidP="00B03F86">
      <w:pPr>
        <w:pStyle w:val="Heading1"/>
      </w:pPr>
      <w:r>
        <w:t>Discussion</w:t>
      </w:r>
    </w:p>
    <w:p w14:paraId="77979937" w14:textId="0DDDC211" w:rsidR="00B03F86" w:rsidRDefault="00B03F86" w:rsidP="00B03F86"/>
    <w:p w14:paraId="622144D7" w14:textId="0ABA4292" w:rsidR="004A0B7D" w:rsidRDefault="00B03F86" w:rsidP="00B03F86">
      <w:r>
        <w:tab/>
      </w:r>
      <w:r w:rsidR="00010CBE">
        <w:t xml:space="preserve">The effect of limiting the curing time a concrete can go through in early stages dampens its ability to promote strength and durability characteristics, as seen by the previous tables. Not allowing excess water to enter the concrete’s matrix after final set in order to increase both the rate and degree of hydration decreases the amount of strength gaining hydration product, calcium silica hydrate (CSH). With less CSH comes less strength bonds and more permeable pore space where these bonds would have taken place. </w:t>
      </w:r>
    </w:p>
    <w:p w14:paraId="03F554BE" w14:textId="77777777" w:rsidR="004A0B7D" w:rsidRDefault="004A0B7D" w:rsidP="00B03F86"/>
    <w:p w14:paraId="0F6AB16A" w14:textId="6EC2BD08" w:rsidR="00B03F86" w:rsidRDefault="004A0B7D" w:rsidP="00B03F86">
      <w:r>
        <w:tab/>
        <w:t>When examining the sole effect of curing time, as is done in Tables 9 through 1</w:t>
      </w:r>
      <w:r w:rsidR="00057DCC">
        <w:t>1</w:t>
      </w:r>
      <w:r>
        <w:t xml:space="preserve">, it is seen that SR responded better to curing time in the commercial 3500 and CRED mixes than the commercial ACI. This could possibly be attributed to the mix design, as ACI has </w:t>
      </w:r>
      <w:r w:rsidR="00947A04">
        <w:t xml:space="preserve">a higher </w:t>
      </w:r>
      <w:r>
        <w:t>amount of Portland cement than the other mixes, giving it much more opportunity to start making partial bonds through hydration and providing less permeable pore space.</w:t>
      </w:r>
      <w:r w:rsidR="00067AED">
        <w:t xml:space="preserve"> Commercial 3500 and CRED both responded well to SR in terms of immersion curing age, as </w:t>
      </w:r>
      <w:r w:rsidR="00D34E91">
        <w:t xml:space="preserve">5 out of 6 cases in both mixtures proved the higher curing age to be </w:t>
      </w:r>
      <w:r w:rsidR="001C420C">
        <w:t>beneficial</w:t>
      </w:r>
      <w:r w:rsidR="00D34E91">
        <w:t>.</w:t>
      </w:r>
    </w:p>
    <w:p w14:paraId="3406B7D8" w14:textId="00C7ACCB" w:rsidR="00D34E91" w:rsidRDefault="00D34E91" w:rsidP="00B03F86"/>
    <w:p w14:paraId="073C9AA0" w14:textId="7DA69685" w:rsidR="00D34E91" w:rsidRDefault="00D34E91" w:rsidP="00B03F86">
      <w:r>
        <w:tab/>
        <w:t>The effect of providing more curing time had the greatest impact on compressive strength, as seen in Table 10. The commercial 3500 mixture</w:t>
      </w:r>
      <w:r w:rsidR="001C420C">
        <w:t xml:space="preserve">’s results indicated that </w:t>
      </w:r>
      <w:r>
        <w:t>every instance of comparison show</w:t>
      </w:r>
      <w:r w:rsidR="004B6B95">
        <w:t>s</w:t>
      </w:r>
      <w:r>
        <w:t xml:space="preserve"> more immersion curing time lead</w:t>
      </w:r>
      <w:r w:rsidR="004B6B95">
        <w:t>s</w:t>
      </w:r>
      <w:r>
        <w:t xml:space="preserve"> to a</w:t>
      </w:r>
      <w:r w:rsidR="009974C9">
        <w:t>n</w:t>
      </w:r>
      <w:r>
        <w:t xml:space="preserve"> SSD and higher compressive strength</w:t>
      </w:r>
      <w:r w:rsidR="009974C9">
        <w:t xml:space="preserve"> than those with less immersion curing time. Commercial ACI and CRED both experienced 5 out of 6 cases where more immersion curing time lead to an SSD and higher compressive strength as well. </w:t>
      </w:r>
    </w:p>
    <w:p w14:paraId="20740943" w14:textId="1E9404C4" w:rsidR="009974C9" w:rsidRDefault="009974C9" w:rsidP="00B03F86"/>
    <w:p w14:paraId="2F879A3D" w14:textId="681A05A1" w:rsidR="009974C9" w:rsidRDefault="009974C9" w:rsidP="00B03F86">
      <w:r>
        <w:tab/>
        <w:t xml:space="preserve">Tensile strength performed well in both commercial 3500 and commercial ACI, with more curing time leading to SSD and higher tensile strengths in 4 and 5 out of 6 cases, respectfully. The CRED mixture seen split responses, with 3 out of 6 comparisons showing that an extended amount of immersion curing time caused </w:t>
      </w:r>
      <w:r w:rsidR="00B02DB4">
        <w:t>SSD and higher tensile strengths than those with less immersion curing time.</w:t>
      </w:r>
    </w:p>
    <w:p w14:paraId="4956D2D2" w14:textId="22E29A42" w:rsidR="00057DCC" w:rsidRDefault="00057DCC" w:rsidP="00B03F86"/>
    <w:p w14:paraId="6A4492E4" w14:textId="7474A758" w:rsidR="00057DCC" w:rsidRDefault="00057DCC" w:rsidP="00B03F86">
      <w:r>
        <w:tab/>
        <w:t>The analysis shown in Tables 12 through 14 reaffirm the hierarchy of the mixtures shown in phase one of this research.</w:t>
      </w:r>
    </w:p>
    <w:p w14:paraId="03AE316A" w14:textId="4CAA4F5A" w:rsidR="00B02DB4" w:rsidRDefault="00B02DB4" w:rsidP="00B03F86"/>
    <w:p w14:paraId="3CB3111A" w14:textId="1353542F" w:rsidR="00B02DB4" w:rsidRDefault="00B02DB4" w:rsidP="00B03F86">
      <w:r>
        <w:lastRenderedPageBreak/>
        <w:tab/>
      </w:r>
      <w:r w:rsidR="005C50BC">
        <w:t>Figures 1 and 2</w:t>
      </w:r>
      <w:r>
        <w:t xml:space="preserve"> display </w:t>
      </w:r>
      <w:r w:rsidR="008411B0">
        <w:t xml:space="preserve">how an increase in the amount of time a concrete is allowed to cure leads to higher strength and durability results. </w:t>
      </w:r>
    </w:p>
    <w:p w14:paraId="21330EEA" w14:textId="7AE964DF" w:rsidR="008411B0" w:rsidRDefault="008411B0" w:rsidP="009C1EFB">
      <w:pPr>
        <w:jc w:val="center"/>
      </w:pPr>
    </w:p>
    <w:p w14:paraId="66CFC941" w14:textId="77777777" w:rsidR="004B6B95" w:rsidRDefault="004B6B95" w:rsidP="009C1EFB">
      <w:pPr>
        <w:jc w:val="center"/>
      </w:pPr>
    </w:p>
    <w:p w14:paraId="49EEB6D6" w14:textId="242CCD45" w:rsidR="009C1EFB" w:rsidRDefault="009C1EFB" w:rsidP="008411B0">
      <w:pPr>
        <w:jc w:val="center"/>
      </w:pPr>
      <w:r>
        <w:rPr>
          <w:noProof/>
        </w:rPr>
        <mc:AlternateContent>
          <mc:Choice Requires="wps">
            <w:drawing>
              <wp:anchor distT="0" distB="0" distL="114300" distR="114300" simplePos="0" relativeHeight="251662336" behindDoc="1" locked="0" layoutInCell="1" allowOverlap="1" wp14:anchorId="6217750D" wp14:editId="380BA268">
                <wp:simplePos x="0" y="0"/>
                <wp:positionH relativeFrom="margin">
                  <wp:align>center</wp:align>
                </wp:positionH>
                <wp:positionV relativeFrom="paragraph">
                  <wp:posOffset>2884170</wp:posOffset>
                </wp:positionV>
                <wp:extent cx="6286500" cy="63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6286500" cy="635"/>
                        </a:xfrm>
                        <a:prstGeom prst="rect">
                          <a:avLst/>
                        </a:prstGeom>
                        <a:solidFill>
                          <a:prstClr val="white"/>
                        </a:solidFill>
                        <a:ln>
                          <a:noFill/>
                        </a:ln>
                      </wps:spPr>
                      <wps:txbx>
                        <w:txbxContent>
                          <w:p w14:paraId="50241626" w14:textId="265DF626" w:rsidR="00110B3C" w:rsidRPr="009C1EFB" w:rsidRDefault="00110B3C" w:rsidP="009C1EFB">
                            <w:pPr>
                              <w:pStyle w:val="Caption"/>
                              <w:jc w:val="center"/>
                              <w:rPr>
                                <w:i w:val="0"/>
                                <w:noProof/>
                                <w:color w:val="auto"/>
                                <w:sz w:val="36"/>
                              </w:rPr>
                            </w:pPr>
                            <w:r w:rsidRPr="009C1EFB">
                              <w:rPr>
                                <w:b/>
                                <w:i w:val="0"/>
                                <w:color w:val="auto"/>
                                <w:sz w:val="24"/>
                              </w:rPr>
                              <w:t xml:space="preserve">Figure </w:t>
                            </w:r>
                            <w:r w:rsidRPr="009C1EFB">
                              <w:rPr>
                                <w:b/>
                                <w:i w:val="0"/>
                                <w:color w:val="auto"/>
                                <w:sz w:val="24"/>
                              </w:rPr>
                              <w:fldChar w:fldCharType="begin"/>
                            </w:r>
                            <w:r w:rsidRPr="009C1EFB">
                              <w:rPr>
                                <w:b/>
                                <w:i w:val="0"/>
                                <w:color w:val="auto"/>
                                <w:sz w:val="24"/>
                              </w:rPr>
                              <w:instrText xml:space="preserve"> SEQ Figure \* ARABIC </w:instrText>
                            </w:r>
                            <w:r w:rsidRPr="009C1EFB">
                              <w:rPr>
                                <w:b/>
                                <w:i w:val="0"/>
                                <w:color w:val="auto"/>
                                <w:sz w:val="24"/>
                              </w:rPr>
                              <w:fldChar w:fldCharType="separate"/>
                            </w:r>
                            <w:r>
                              <w:rPr>
                                <w:b/>
                                <w:i w:val="0"/>
                                <w:noProof/>
                                <w:color w:val="auto"/>
                                <w:sz w:val="24"/>
                              </w:rPr>
                              <w:t>1</w:t>
                            </w:r>
                            <w:r w:rsidRPr="009C1EFB">
                              <w:rPr>
                                <w:b/>
                                <w:i w:val="0"/>
                                <w:color w:val="auto"/>
                                <w:sz w:val="24"/>
                              </w:rPr>
                              <w:fldChar w:fldCharType="end"/>
                            </w:r>
                            <w:r w:rsidRPr="009C1EFB">
                              <w:rPr>
                                <w:b/>
                                <w:i w:val="0"/>
                                <w:color w:val="auto"/>
                                <w:sz w:val="24"/>
                              </w:rPr>
                              <w:t>.</w:t>
                            </w:r>
                            <w:r w:rsidRPr="009C1EFB">
                              <w:rPr>
                                <w:i w:val="0"/>
                                <w:color w:val="auto"/>
                                <w:sz w:val="24"/>
                              </w:rPr>
                              <w:t xml:space="preserve"> (Left) SR Results Compared to Days of Immersion Curing (Right) Compressive Strength Results </w:t>
                            </w:r>
                            <w:r>
                              <w:rPr>
                                <w:i w:val="0"/>
                                <w:color w:val="auto"/>
                                <w:sz w:val="24"/>
                              </w:rPr>
                              <w:t>Compared to</w:t>
                            </w:r>
                            <w:r w:rsidRPr="009C1EFB">
                              <w:rPr>
                                <w:i w:val="0"/>
                                <w:color w:val="auto"/>
                                <w:sz w:val="24"/>
                              </w:rPr>
                              <w:t xml:space="preserve"> Days of Immersion Curing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17750D" id="_x0000_t202" coordsize="21600,21600" o:spt="202" path="m,l,21600r21600,l21600,xe">
                <v:stroke joinstyle="miter"/>
                <v:path gradientshapeok="t" o:connecttype="rect"/>
              </v:shapetype>
              <v:shape id="Text Box 3" o:spid="_x0000_s1026" type="#_x0000_t202" style="position:absolute;left:0;text-align:left;margin-left:0;margin-top:227.1pt;width:495pt;height:.05pt;z-index:-2516541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" stroked="f">
                <v:textbox style="mso-fit-shape-to-text:t" inset="0,0,0,0">
                  <w:txbxContent>
                    <w:p w14:paraId="50241626" w14:textId="265DF626" w:rsidR="00110B3C" w:rsidRPr="009C1EFB" w:rsidRDefault="00110B3C" w:rsidP="009C1EFB">
                      <w:pPr>
                        <w:pStyle w:val="Caption"/>
                        <w:jc w:val="center"/>
                        <w:rPr>
                          <w:i w:val="0"/>
                          <w:noProof/>
                          <w:color w:val="auto"/>
                          <w:sz w:val="36"/>
                        </w:rPr>
                      </w:pPr>
                      <w:r w:rsidRPr="009C1EFB">
                        <w:rPr>
                          <w:b/>
                          <w:i w:val="0"/>
                          <w:color w:val="auto"/>
                          <w:sz w:val="24"/>
                        </w:rPr>
                        <w:t xml:space="preserve">Figure </w:t>
                      </w:r>
                      <w:r w:rsidRPr="009C1EFB">
                        <w:rPr>
                          <w:b/>
                          <w:i w:val="0"/>
                          <w:color w:val="auto"/>
                          <w:sz w:val="24"/>
                        </w:rPr>
                        <w:fldChar w:fldCharType="begin"/>
                      </w:r>
                      <w:r w:rsidRPr="009C1EFB">
                        <w:rPr>
                          <w:b/>
                          <w:i w:val="0"/>
                          <w:color w:val="auto"/>
                          <w:sz w:val="24"/>
                        </w:rPr>
                        <w:instrText xml:space="preserve"> SEQ Figure \* ARABIC </w:instrText>
                      </w:r>
                      <w:r w:rsidRPr="009C1EFB">
                        <w:rPr>
                          <w:b/>
                          <w:i w:val="0"/>
                          <w:color w:val="auto"/>
                          <w:sz w:val="24"/>
                        </w:rPr>
                        <w:fldChar w:fldCharType="separate"/>
                      </w:r>
                      <w:r>
                        <w:rPr>
                          <w:b/>
                          <w:i w:val="0"/>
                          <w:noProof/>
                          <w:color w:val="auto"/>
                          <w:sz w:val="24"/>
                        </w:rPr>
                        <w:t>1</w:t>
                      </w:r>
                      <w:r w:rsidRPr="009C1EFB">
                        <w:rPr>
                          <w:b/>
                          <w:i w:val="0"/>
                          <w:color w:val="auto"/>
                          <w:sz w:val="24"/>
                        </w:rPr>
                        <w:fldChar w:fldCharType="end"/>
                      </w:r>
                      <w:r w:rsidRPr="009C1EFB">
                        <w:rPr>
                          <w:b/>
                          <w:i w:val="0"/>
                          <w:color w:val="auto"/>
                          <w:sz w:val="24"/>
                        </w:rPr>
                        <w:t>.</w:t>
                      </w:r>
                      <w:r w:rsidRPr="009C1EFB">
                        <w:rPr>
                          <w:i w:val="0"/>
                          <w:color w:val="auto"/>
                          <w:sz w:val="24"/>
                        </w:rPr>
                        <w:t xml:space="preserve"> (Left) SR Results Compared to Days of Immersion Curing (Right) Compressive Strength Results </w:t>
                      </w:r>
                      <w:r>
                        <w:rPr>
                          <w:i w:val="0"/>
                          <w:color w:val="auto"/>
                          <w:sz w:val="24"/>
                        </w:rPr>
                        <w:t>Compared to</w:t>
                      </w:r>
                      <w:r w:rsidRPr="009C1EFB">
                        <w:rPr>
                          <w:i w:val="0"/>
                          <w:color w:val="auto"/>
                          <w:sz w:val="24"/>
                        </w:rPr>
                        <w:t xml:space="preserve"> Days of Immersion Curing</w:t>
                      </w:r>
                    </w:p>
                  </w:txbxContent>
                </v:textbox>
                <w10:wrap anchorx="margin"/>
              </v:shape>
            </w:pict>
          </mc:Fallback>
        </mc:AlternateContent>
      </w:r>
      <w:r>
        <w:rPr>
          <w:noProof/>
        </w:rPr>
        <w:drawing>
          <wp:anchor distT="0" distB="0" distL="114300" distR="114300" simplePos="0" relativeHeight="251659264" behindDoc="1" locked="0" layoutInCell="1" allowOverlap="1" wp14:anchorId="47D2F9C5" wp14:editId="6FE69C8A">
            <wp:simplePos x="0" y="0"/>
            <wp:positionH relativeFrom="column">
              <wp:posOffset>2962275</wp:posOffset>
            </wp:positionH>
            <wp:positionV relativeFrom="paragraph">
              <wp:posOffset>93345</wp:posOffset>
            </wp:positionV>
            <wp:extent cx="3305175" cy="2733675"/>
            <wp:effectExtent l="0" t="0" r="9525" b="9525"/>
            <wp:wrapNone/>
            <wp:docPr id="2" name="Chart 2">
              <a:extLst xmlns:a="http://schemas.openxmlformats.org/drawingml/2006/main">
                <a:ext uri="{FF2B5EF4-FFF2-40B4-BE49-F238E27FC236}">
                  <a16:creationId xmlns:a16="http://schemas.microsoft.com/office/drawing/2014/main" id="{4860B919-DBBC-4B4E-B266-5ABC61DDD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88E33A" wp14:editId="76E01C02">
            <wp:simplePos x="0" y="0"/>
            <wp:positionH relativeFrom="column">
              <wp:posOffset>-342900</wp:posOffset>
            </wp:positionH>
            <wp:positionV relativeFrom="paragraph">
              <wp:posOffset>93345</wp:posOffset>
            </wp:positionV>
            <wp:extent cx="3314700" cy="2733675"/>
            <wp:effectExtent l="0" t="0" r="0" b="9525"/>
            <wp:wrapNone/>
            <wp:docPr id="1" name="Chart 1">
              <a:extLst xmlns:a="http://schemas.openxmlformats.org/drawingml/2006/main">
                <a:ext uri="{FF2B5EF4-FFF2-40B4-BE49-F238E27FC236}">
                  <a16:creationId xmlns:a16="http://schemas.microsoft.com/office/drawing/2014/main" id="{1B00A129-2ACA-4A23-A097-5902223D7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55711432" w14:textId="77777777" w:rsidR="009C1EFB" w:rsidRPr="009C1EFB" w:rsidRDefault="009C1EFB" w:rsidP="009C1EFB"/>
    <w:p w14:paraId="74DC9AB9" w14:textId="77777777" w:rsidR="009C1EFB" w:rsidRPr="009C1EFB" w:rsidRDefault="009C1EFB" w:rsidP="009C1EFB"/>
    <w:p w14:paraId="05005E0A" w14:textId="77777777" w:rsidR="009C1EFB" w:rsidRPr="009C1EFB" w:rsidRDefault="009C1EFB" w:rsidP="009C1EFB"/>
    <w:p w14:paraId="5F6CF97D" w14:textId="77777777" w:rsidR="009C1EFB" w:rsidRPr="009C1EFB" w:rsidRDefault="009C1EFB" w:rsidP="009C1EFB"/>
    <w:p w14:paraId="501A2801" w14:textId="77777777" w:rsidR="009C1EFB" w:rsidRPr="009C1EFB" w:rsidRDefault="009C1EFB" w:rsidP="009C1EFB"/>
    <w:p w14:paraId="68C80598" w14:textId="77777777" w:rsidR="009C1EFB" w:rsidRPr="009C1EFB" w:rsidRDefault="009C1EFB" w:rsidP="009C1EFB"/>
    <w:p w14:paraId="718302FE" w14:textId="77777777" w:rsidR="009C1EFB" w:rsidRPr="009C1EFB" w:rsidRDefault="009C1EFB" w:rsidP="009C1EFB"/>
    <w:p w14:paraId="63BF25F8" w14:textId="77777777" w:rsidR="009C1EFB" w:rsidRPr="009C1EFB" w:rsidRDefault="009C1EFB" w:rsidP="009C1EFB"/>
    <w:p w14:paraId="730D682D" w14:textId="77777777" w:rsidR="009C1EFB" w:rsidRPr="009C1EFB" w:rsidRDefault="009C1EFB" w:rsidP="009C1EFB"/>
    <w:p w14:paraId="2F4729A2" w14:textId="77777777" w:rsidR="009C1EFB" w:rsidRPr="009C1EFB" w:rsidRDefault="009C1EFB" w:rsidP="009C1EFB"/>
    <w:p w14:paraId="3888547C" w14:textId="77777777" w:rsidR="009C1EFB" w:rsidRPr="009C1EFB" w:rsidRDefault="009C1EFB" w:rsidP="009C1EFB"/>
    <w:p w14:paraId="5263BE03" w14:textId="77777777" w:rsidR="009C1EFB" w:rsidRPr="009C1EFB" w:rsidRDefault="009C1EFB" w:rsidP="009C1EFB"/>
    <w:p w14:paraId="7CC0F331" w14:textId="77777777" w:rsidR="009C1EFB" w:rsidRPr="009C1EFB" w:rsidRDefault="009C1EFB" w:rsidP="009C1EFB"/>
    <w:p w14:paraId="297825C5" w14:textId="77777777" w:rsidR="009C1EFB" w:rsidRPr="009C1EFB" w:rsidRDefault="009C1EFB" w:rsidP="009C1EFB"/>
    <w:p w14:paraId="20B41DCB" w14:textId="77777777" w:rsidR="009C1EFB" w:rsidRPr="009C1EFB" w:rsidRDefault="009C1EFB" w:rsidP="009C1EFB"/>
    <w:p w14:paraId="2BA03F33" w14:textId="77777777" w:rsidR="009C1EFB" w:rsidRPr="009C1EFB" w:rsidRDefault="009C1EFB" w:rsidP="009C1EFB"/>
    <w:p w14:paraId="65CB8FE7" w14:textId="3DA54EB6" w:rsidR="009C1EFB" w:rsidRDefault="009C1EFB" w:rsidP="009C1EFB"/>
    <w:p w14:paraId="31B98FF3" w14:textId="77777777" w:rsidR="009C1EFB" w:rsidRPr="009C1EFB" w:rsidRDefault="009C1EFB" w:rsidP="009C1EFB"/>
    <w:p w14:paraId="09C96507" w14:textId="36D42390" w:rsidR="009C1EFB" w:rsidRDefault="009C1EFB" w:rsidP="009C1EFB"/>
    <w:p w14:paraId="03650D54" w14:textId="6D63C1BC" w:rsidR="009C1EFB" w:rsidRDefault="009C1EFB" w:rsidP="009C1EFB">
      <w:pPr>
        <w:jc w:val="center"/>
      </w:pPr>
      <w:r>
        <w:rPr>
          <w:noProof/>
        </w:rPr>
        <mc:AlternateContent>
          <mc:Choice Requires="wps">
            <w:drawing>
              <wp:anchor distT="0" distB="0" distL="114300" distR="114300" simplePos="0" relativeHeight="251665408" behindDoc="1" locked="0" layoutInCell="1" allowOverlap="1" wp14:anchorId="168AF9B5" wp14:editId="2BC57A6F">
                <wp:simplePos x="0" y="0"/>
                <wp:positionH relativeFrom="column">
                  <wp:posOffset>571500</wp:posOffset>
                </wp:positionH>
                <wp:positionV relativeFrom="paragraph">
                  <wp:posOffset>2965450</wp:posOffset>
                </wp:positionV>
                <wp:extent cx="480060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00600" cy="635"/>
                        </a:xfrm>
                        <a:prstGeom prst="rect">
                          <a:avLst/>
                        </a:prstGeom>
                        <a:solidFill>
                          <a:prstClr val="white"/>
                        </a:solidFill>
                        <a:ln>
                          <a:noFill/>
                        </a:ln>
                      </wps:spPr>
                      <wps:txbx>
                        <w:txbxContent>
                          <w:p w14:paraId="73922855" w14:textId="74409A13" w:rsidR="00110B3C" w:rsidRPr="009C1EFB" w:rsidRDefault="00110B3C" w:rsidP="009C1EFB">
                            <w:pPr>
                              <w:pStyle w:val="Caption"/>
                              <w:jc w:val="center"/>
                              <w:rPr>
                                <w:noProof/>
                                <w:color w:val="auto"/>
                                <w:sz w:val="36"/>
                              </w:rPr>
                            </w:pPr>
                            <w:r w:rsidRPr="009C1EFB">
                              <w:rPr>
                                <w:b/>
                                <w:i w:val="0"/>
                                <w:color w:val="auto"/>
                                <w:sz w:val="24"/>
                              </w:rPr>
                              <w:t xml:space="preserve">Figure </w:t>
                            </w:r>
                            <w:r w:rsidRPr="009C1EFB">
                              <w:rPr>
                                <w:b/>
                                <w:i w:val="0"/>
                                <w:color w:val="auto"/>
                                <w:sz w:val="24"/>
                              </w:rPr>
                              <w:fldChar w:fldCharType="begin"/>
                            </w:r>
                            <w:r w:rsidRPr="009C1EFB">
                              <w:rPr>
                                <w:b/>
                                <w:i w:val="0"/>
                                <w:color w:val="auto"/>
                                <w:sz w:val="24"/>
                              </w:rPr>
                              <w:instrText xml:space="preserve"> SEQ Figure \* ARABIC </w:instrText>
                            </w:r>
                            <w:r w:rsidRPr="009C1EFB">
                              <w:rPr>
                                <w:b/>
                                <w:i w:val="0"/>
                                <w:color w:val="auto"/>
                                <w:sz w:val="24"/>
                              </w:rPr>
                              <w:fldChar w:fldCharType="separate"/>
                            </w:r>
                            <w:r w:rsidRPr="009C1EFB">
                              <w:rPr>
                                <w:b/>
                                <w:i w:val="0"/>
                                <w:noProof/>
                                <w:color w:val="auto"/>
                                <w:sz w:val="24"/>
                              </w:rPr>
                              <w:t>2</w:t>
                            </w:r>
                            <w:r w:rsidRPr="009C1EFB">
                              <w:rPr>
                                <w:b/>
                                <w:i w:val="0"/>
                                <w:color w:val="auto"/>
                                <w:sz w:val="24"/>
                              </w:rPr>
                              <w:fldChar w:fldCharType="end"/>
                            </w:r>
                            <w:r w:rsidRPr="009C1EFB">
                              <w:rPr>
                                <w:b/>
                                <w:i w:val="0"/>
                                <w:color w:val="auto"/>
                                <w:sz w:val="24"/>
                              </w:rPr>
                              <w:t>.</w:t>
                            </w:r>
                            <w:r w:rsidRPr="009C1EFB">
                              <w:rPr>
                                <w:color w:val="auto"/>
                                <w:sz w:val="24"/>
                              </w:rPr>
                              <w:t xml:space="preserve"> </w:t>
                            </w:r>
                            <w:r w:rsidRPr="009C1EFB">
                              <w:rPr>
                                <w:i w:val="0"/>
                                <w:color w:val="auto"/>
                                <w:sz w:val="24"/>
                              </w:rPr>
                              <w:t>Tensile Strength Results Compared to Days of Immersion Curing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8AF9B5" id="Text Box 5" o:spid="_x0000_s1027" type="#_x0000_t202" style="position:absolute;left:0;text-align:left;margin-left:45pt;margin-top:233.5pt;width:378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" stroked="f">
                <v:textbox style="mso-fit-shape-to-text:t" inset="0,0,0,0">
                  <w:txbxContent>
                    <w:p w14:paraId="73922855" w14:textId="74409A13" w:rsidR="00110B3C" w:rsidRPr="009C1EFB" w:rsidRDefault="00110B3C" w:rsidP="009C1EFB">
                      <w:pPr>
                        <w:pStyle w:val="Caption"/>
                        <w:jc w:val="center"/>
                        <w:rPr>
                          <w:noProof/>
                          <w:color w:val="auto"/>
                          <w:sz w:val="36"/>
                        </w:rPr>
                      </w:pPr>
                      <w:r w:rsidRPr="009C1EFB">
                        <w:rPr>
                          <w:b/>
                          <w:i w:val="0"/>
                          <w:color w:val="auto"/>
                          <w:sz w:val="24"/>
                        </w:rPr>
                        <w:t xml:space="preserve">Figure </w:t>
                      </w:r>
                      <w:r w:rsidRPr="009C1EFB">
                        <w:rPr>
                          <w:b/>
                          <w:i w:val="0"/>
                          <w:color w:val="auto"/>
                          <w:sz w:val="24"/>
                        </w:rPr>
                        <w:fldChar w:fldCharType="begin"/>
                      </w:r>
                      <w:r w:rsidRPr="009C1EFB">
                        <w:rPr>
                          <w:b/>
                          <w:i w:val="0"/>
                          <w:color w:val="auto"/>
                          <w:sz w:val="24"/>
                        </w:rPr>
                        <w:instrText xml:space="preserve"> SEQ Figure \* ARABIC </w:instrText>
                      </w:r>
                      <w:r w:rsidRPr="009C1EFB">
                        <w:rPr>
                          <w:b/>
                          <w:i w:val="0"/>
                          <w:color w:val="auto"/>
                          <w:sz w:val="24"/>
                        </w:rPr>
                        <w:fldChar w:fldCharType="separate"/>
                      </w:r>
                      <w:r w:rsidRPr="009C1EFB">
                        <w:rPr>
                          <w:b/>
                          <w:i w:val="0"/>
                          <w:noProof/>
                          <w:color w:val="auto"/>
                          <w:sz w:val="24"/>
                        </w:rPr>
                        <w:t>2</w:t>
                      </w:r>
                      <w:r w:rsidRPr="009C1EFB">
                        <w:rPr>
                          <w:b/>
                          <w:i w:val="0"/>
                          <w:color w:val="auto"/>
                          <w:sz w:val="24"/>
                        </w:rPr>
                        <w:fldChar w:fldCharType="end"/>
                      </w:r>
                      <w:r w:rsidRPr="009C1EFB">
                        <w:rPr>
                          <w:b/>
                          <w:i w:val="0"/>
                          <w:color w:val="auto"/>
                          <w:sz w:val="24"/>
                        </w:rPr>
                        <w:t>.</w:t>
                      </w:r>
                      <w:r w:rsidRPr="009C1EFB">
                        <w:rPr>
                          <w:color w:val="auto"/>
                          <w:sz w:val="24"/>
                        </w:rPr>
                        <w:t xml:space="preserve"> </w:t>
                      </w:r>
                      <w:r w:rsidRPr="009C1EFB">
                        <w:rPr>
                          <w:i w:val="0"/>
                          <w:color w:val="auto"/>
                          <w:sz w:val="24"/>
                        </w:rPr>
                        <w:t>Tensile Strength Results Compared to Days of Immersion Curing</w:t>
                      </w:r>
                    </w:p>
                  </w:txbxContent>
                </v:textbox>
              </v:shape>
            </w:pict>
          </mc:Fallback>
        </mc:AlternateContent>
      </w:r>
      <w:r>
        <w:rPr>
          <w:noProof/>
        </w:rPr>
        <w:drawing>
          <wp:anchor distT="0" distB="0" distL="114300" distR="114300" simplePos="0" relativeHeight="251663360" behindDoc="1" locked="0" layoutInCell="1" allowOverlap="1" wp14:anchorId="07A41CFD" wp14:editId="616F5BD1">
            <wp:simplePos x="0" y="0"/>
            <wp:positionH relativeFrom="column">
              <wp:posOffset>571500</wp:posOffset>
            </wp:positionH>
            <wp:positionV relativeFrom="paragraph">
              <wp:posOffset>-1270</wp:posOffset>
            </wp:positionV>
            <wp:extent cx="4800600" cy="2909888"/>
            <wp:effectExtent l="0" t="0" r="0" b="5080"/>
            <wp:wrapNone/>
            <wp:docPr id="4" name="Chart 4">
              <a:extLst xmlns:a="http://schemas.openxmlformats.org/drawingml/2006/main">
                <a:ext uri="{FF2B5EF4-FFF2-40B4-BE49-F238E27FC236}">
                  <a16:creationId xmlns:a16="http://schemas.microsoft.com/office/drawing/2014/main" id="{53FD70CD-D532-46B7-AC4E-12C2D6CE7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17357F73" w14:textId="77777777" w:rsidR="009C1EFB" w:rsidRPr="009C1EFB" w:rsidRDefault="009C1EFB" w:rsidP="009C1EFB"/>
    <w:p w14:paraId="6355E9B1" w14:textId="77777777" w:rsidR="009C1EFB" w:rsidRPr="009C1EFB" w:rsidRDefault="009C1EFB" w:rsidP="009C1EFB"/>
    <w:p w14:paraId="15BF693B" w14:textId="77777777" w:rsidR="009C1EFB" w:rsidRPr="009C1EFB" w:rsidRDefault="009C1EFB" w:rsidP="009C1EFB"/>
    <w:p w14:paraId="62FC24E5" w14:textId="77777777" w:rsidR="009C1EFB" w:rsidRPr="009C1EFB" w:rsidRDefault="009C1EFB" w:rsidP="009C1EFB"/>
    <w:p w14:paraId="3A7A3566" w14:textId="77777777" w:rsidR="009C1EFB" w:rsidRPr="009C1EFB" w:rsidRDefault="009C1EFB" w:rsidP="009C1EFB"/>
    <w:p w14:paraId="5154052C" w14:textId="77777777" w:rsidR="009C1EFB" w:rsidRPr="009C1EFB" w:rsidRDefault="009C1EFB" w:rsidP="009C1EFB"/>
    <w:p w14:paraId="708BF741" w14:textId="77777777" w:rsidR="009C1EFB" w:rsidRPr="009C1EFB" w:rsidRDefault="009C1EFB" w:rsidP="009C1EFB"/>
    <w:p w14:paraId="4D300D85" w14:textId="77777777" w:rsidR="009C1EFB" w:rsidRPr="009C1EFB" w:rsidRDefault="009C1EFB" w:rsidP="009C1EFB"/>
    <w:p w14:paraId="1AF60D98" w14:textId="77777777" w:rsidR="009C1EFB" w:rsidRPr="009C1EFB" w:rsidRDefault="009C1EFB" w:rsidP="009C1EFB"/>
    <w:p w14:paraId="42B910C6" w14:textId="77777777" w:rsidR="009C1EFB" w:rsidRPr="009C1EFB" w:rsidRDefault="009C1EFB" w:rsidP="009C1EFB"/>
    <w:p w14:paraId="3CF3FE30" w14:textId="77777777" w:rsidR="009C1EFB" w:rsidRPr="009C1EFB" w:rsidRDefault="009C1EFB" w:rsidP="009C1EFB"/>
    <w:p w14:paraId="6AB2671E" w14:textId="77777777" w:rsidR="009C1EFB" w:rsidRPr="009C1EFB" w:rsidRDefault="009C1EFB" w:rsidP="009C1EFB"/>
    <w:p w14:paraId="5D94C26D" w14:textId="77777777" w:rsidR="009C1EFB" w:rsidRPr="009C1EFB" w:rsidRDefault="009C1EFB" w:rsidP="009C1EFB"/>
    <w:p w14:paraId="58DF8F82" w14:textId="77777777" w:rsidR="009C1EFB" w:rsidRPr="009C1EFB" w:rsidRDefault="009C1EFB" w:rsidP="009C1EFB"/>
    <w:p w14:paraId="48EAF5D0" w14:textId="77777777" w:rsidR="009C1EFB" w:rsidRPr="009C1EFB" w:rsidRDefault="009C1EFB" w:rsidP="009C1EFB"/>
    <w:p w14:paraId="270C4CCC" w14:textId="78E4F9A9" w:rsidR="009C1EFB" w:rsidRDefault="009C1EFB" w:rsidP="009C1EFB"/>
    <w:p w14:paraId="09DE9126" w14:textId="77777777" w:rsidR="009C1EFB" w:rsidRPr="009C1EFB" w:rsidRDefault="009C1EFB" w:rsidP="009C1EFB"/>
    <w:p w14:paraId="034AC514" w14:textId="3A730C10" w:rsidR="009C1EFB" w:rsidRDefault="009C1EFB" w:rsidP="009C1EFB"/>
    <w:p w14:paraId="6AA2908F" w14:textId="63422735" w:rsidR="008411B0" w:rsidRDefault="009C1EFB" w:rsidP="009C1EFB">
      <w:r>
        <w:tab/>
        <w:t>Figure 1 (Left) displays the small</w:t>
      </w:r>
      <w:r w:rsidR="00F25462">
        <w:t>er</w:t>
      </w:r>
      <w:r>
        <w:t xml:space="preserve"> amount of change seen in </w:t>
      </w:r>
      <w:r w:rsidR="00F25462">
        <w:t>SR results when considering longer amounts of immersion curing time. This is due in part to the smaller value in number of SR when compared to larger numbers such as compressive or tensile strength.</w:t>
      </w:r>
      <w:r w:rsidR="005C50BC">
        <w:t xml:space="preserve"> Figure </w:t>
      </w:r>
      <w:r w:rsidR="005C50BC">
        <w:lastRenderedPageBreak/>
        <w:t>1 (Right)</w:t>
      </w:r>
      <w:r w:rsidR="001522D3">
        <w:t xml:space="preserve"> and Figure 2</w:t>
      </w:r>
      <w:r w:rsidR="005C50BC">
        <w:t xml:space="preserve"> provide a good visual on the effects that extended curing time has on </w:t>
      </w:r>
      <w:r w:rsidR="001522D3">
        <w:t xml:space="preserve">strength development. While the effects appear more prominent for compressive strength, tensile strength also has </w:t>
      </w:r>
      <w:r w:rsidR="0061158A">
        <w:t>a similar strength development</w:t>
      </w:r>
      <w:r w:rsidR="001522D3">
        <w:t xml:space="preserve"> relationship</w:t>
      </w:r>
      <w:r w:rsidR="0061158A">
        <w:t>.</w:t>
      </w:r>
      <w:r w:rsidR="008B07FD">
        <w:t xml:space="preserve"> </w:t>
      </w:r>
    </w:p>
    <w:p w14:paraId="7BE7158F" w14:textId="6B331212" w:rsidR="00897BC1" w:rsidRDefault="00897BC1" w:rsidP="009C1EFB"/>
    <w:p w14:paraId="214937F3" w14:textId="2EC6F9D6" w:rsidR="00897BC1" w:rsidRDefault="00897BC1" w:rsidP="00897BC1">
      <w:pPr>
        <w:pStyle w:val="Heading1"/>
      </w:pPr>
      <w:r>
        <w:t>Conclusions</w:t>
      </w:r>
    </w:p>
    <w:p w14:paraId="226B58B7" w14:textId="0B373362" w:rsidR="00897BC1" w:rsidRDefault="00897BC1" w:rsidP="00897BC1"/>
    <w:p w14:paraId="76A63BE7" w14:textId="77777777" w:rsidR="004B6B95" w:rsidRDefault="00897BC1" w:rsidP="00897BC1">
      <w:r>
        <w:tab/>
        <w:t>Using three mixtures that are meant to represent a broad spectrum of commercial and residential concrete and subjecting them to four different time periods of immersion curing, it can be concluded that</w:t>
      </w:r>
      <w:r w:rsidR="004B6B95">
        <w:t xml:space="preserve">: </w:t>
      </w:r>
    </w:p>
    <w:p w14:paraId="63BAC31E" w14:textId="77777777" w:rsidR="00EC5428" w:rsidRDefault="00EC5428" w:rsidP="00897BC1"/>
    <w:p w14:paraId="20246D22" w14:textId="646103EE" w:rsidR="00EC5428" w:rsidRDefault="00EC5428" w:rsidP="00EC5428">
      <w:pPr>
        <w:pStyle w:val="ListParagraph"/>
        <w:numPr>
          <w:ilvl w:val="0"/>
          <w:numId w:val="1"/>
        </w:numPr>
      </w:pPr>
      <w:r>
        <w:t>M</w:t>
      </w:r>
      <w:r w:rsidR="00897BC1">
        <w:t xml:space="preserve">ore immersion curing time can benefit both strength and durability properties. </w:t>
      </w:r>
    </w:p>
    <w:p w14:paraId="0D8974A2" w14:textId="77777777" w:rsidR="00EC5428" w:rsidRDefault="00EC5428" w:rsidP="00EC5428">
      <w:pPr>
        <w:pStyle w:val="ListParagraph"/>
      </w:pPr>
    </w:p>
    <w:p w14:paraId="1CB2C880" w14:textId="0690B483" w:rsidR="00EC5428" w:rsidRDefault="00897BC1" w:rsidP="00EC5428">
      <w:pPr>
        <w:pStyle w:val="ListParagraph"/>
        <w:numPr>
          <w:ilvl w:val="0"/>
          <w:numId w:val="1"/>
        </w:numPr>
      </w:pPr>
      <w:r>
        <w:t xml:space="preserve">If using the lower end of the commercial and residential concrete spectrum, which could be considered objectionable, simply curing for three days </w:t>
      </w:r>
      <w:r w:rsidR="00F213F3">
        <w:t xml:space="preserve">instead of not curing at all could lead to increase in compressive strength of up to 20%. </w:t>
      </w:r>
    </w:p>
    <w:p w14:paraId="0B7A6C84" w14:textId="77777777" w:rsidR="00EC5428" w:rsidRDefault="00EC5428" w:rsidP="00EC5428">
      <w:pPr>
        <w:pStyle w:val="ListParagraph"/>
      </w:pPr>
    </w:p>
    <w:p w14:paraId="288B444E" w14:textId="56EA5D60" w:rsidR="00524BFC" w:rsidRPr="00031B17" w:rsidRDefault="00EC5428" w:rsidP="00524BFC">
      <w:pPr>
        <w:pStyle w:val="ListParagraph"/>
        <w:numPr>
          <w:ilvl w:val="0"/>
          <w:numId w:val="1"/>
        </w:numPr>
      </w:pPr>
      <w:r>
        <w:t>Using a concrete on the high end of the commercial and residential spectrum, such as CRED, increases the resistance to chloride ion permeability, thus increasing the durability of the concrete without regard to the amount of immersion curing time.</w:t>
      </w:r>
    </w:p>
    <w:p w14:paraId="6A97CF91" w14:textId="5D02DDEB" w:rsidR="00524BFC" w:rsidRDefault="00524BFC" w:rsidP="00524BFC">
      <w:pPr>
        <w:rPr>
          <w:rFonts w:cs="Times New Roman"/>
          <w:szCs w:val="24"/>
        </w:rPr>
      </w:pPr>
    </w:p>
    <w:p w14:paraId="36FAC10D" w14:textId="4C741C25" w:rsidR="00834F59" w:rsidRDefault="00524BFC" w:rsidP="00B87C98">
      <w:pPr>
        <w:pStyle w:val="Heading1"/>
      </w:pPr>
      <w:r>
        <w:t>References</w:t>
      </w:r>
    </w:p>
    <w:p w14:paraId="44E5C105" w14:textId="46EBAAF8" w:rsidR="006A7662" w:rsidRDefault="006A7662" w:rsidP="006A7662">
      <w:pPr>
        <w:pStyle w:val="NormalWeb"/>
        <w:spacing w:before="0" w:beforeAutospacing="0" w:after="0" w:afterAutospacing="0"/>
      </w:pPr>
    </w:p>
    <w:p w14:paraId="6C26FEAC" w14:textId="77777777" w:rsidR="006A7662" w:rsidRDefault="006A7662" w:rsidP="006A7662"/>
    <w:p w14:paraId="50BB937A" w14:textId="757727CB" w:rsidR="006A7662" w:rsidRDefault="006A7662" w:rsidP="00DA2E92">
      <w:pPr>
        <w:pStyle w:val="ListParagraph"/>
        <w:numPr>
          <w:ilvl w:val="0"/>
          <w:numId w:val="3"/>
        </w:numPr>
      </w:pPr>
      <w:r w:rsidRPr="006A7662">
        <w:t xml:space="preserve">C. E. Proudley, "Curing Materials." eds. R. </w:t>
      </w:r>
      <w:proofErr w:type="spellStart"/>
      <w:r w:rsidRPr="006A7662">
        <w:t>Mielenz</w:t>
      </w:r>
      <w:proofErr w:type="spellEnd"/>
      <w:r w:rsidRPr="006A7662">
        <w:t xml:space="preserve">, D. </w:t>
      </w:r>
      <w:proofErr w:type="spellStart"/>
      <w:r w:rsidRPr="006A7662">
        <w:t>Bloem</w:t>
      </w:r>
      <w:proofErr w:type="spellEnd"/>
      <w:r w:rsidRPr="006A7662">
        <w:t>, L. Gregg, L. Gregg, C. Kesler, and W. Price </w:t>
      </w:r>
      <w:r w:rsidRPr="006A7662">
        <w:rPr>
          <w:i/>
          <w:iCs/>
        </w:rPr>
        <w:t>STP169A-EB Significance of Tests and Properties of Concrete and Concrete-Making Materials</w:t>
      </w:r>
      <w:r w:rsidRPr="006A7662">
        <w:t>. West Conshohocken, PA: ASTM International, 1966. 522-529. Web. 10 Aug 2021. </w:t>
      </w:r>
      <w:hyperlink r:id="rId8" w:history="1">
        <w:r w:rsidRPr="006A7662">
          <w:rPr>
            <w:rStyle w:val="Hyperlink"/>
          </w:rPr>
          <w:t>&lt;https://doi.org/10.1520/STP49901S&gt;</w:t>
        </w:r>
      </w:hyperlink>
    </w:p>
    <w:p w14:paraId="773E9226" w14:textId="77777777" w:rsidR="006A7662" w:rsidRDefault="006A7662" w:rsidP="006A7662">
      <w:pPr>
        <w:pStyle w:val="ListParagraph"/>
      </w:pPr>
    </w:p>
    <w:p w14:paraId="151DCE1B" w14:textId="6D116E26" w:rsidR="00834F59" w:rsidRDefault="00B25437" w:rsidP="00DA2E92">
      <w:pPr>
        <w:pStyle w:val="ListParagraph"/>
        <w:numPr>
          <w:ilvl w:val="0"/>
          <w:numId w:val="3"/>
        </w:numPr>
      </w:pPr>
      <w:r>
        <w:t xml:space="preserve">ACI Committee 308. (2001). ACI 308R-01: </w:t>
      </w:r>
      <w:r>
        <w:rPr>
          <w:i/>
        </w:rPr>
        <w:t>Guide to Curing Concrete.</w:t>
      </w:r>
      <w:r>
        <w:t xml:space="preserve"> </w:t>
      </w:r>
      <w:r>
        <w:rPr>
          <w:noProof/>
        </w:rPr>
        <w:t xml:space="preserve">Farmington Hill, MI: </w:t>
      </w:r>
      <w:r w:rsidRPr="00A96558">
        <w:rPr>
          <w:noProof/>
        </w:rPr>
        <w:t>American Concrete Institute</w:t>
      </w:r>
      <w:r>
        <w:rPr>
          <w:noProof/>
        </w:rPr>
        <w:t>.</w:t>
      </w:r>
    </w:p>
    <w:p w14:paraId="78357E79" w14:textId="77777777" w:rsidR="00B25437" w:rsidRDefault="00B25437" w:rsidP="00DA2E92">
      <w:pPr>
        <w:pStyle w:val="ListParagraph"/>
      </w:pPr>
    </w:p>
    <w:p w14:paraId="54682631" w14:textId="6BCAD3AC" w:rsidR="00B25437" w:rsidRDefault="006A7662" w:rsidP="00DA2E92">
      <w:pPr>
        <w:pStyle w:val="NormalWeb"/>
        <w:numPr>
          <w:ilvl w:val="0"/>
          <w:numId w:val="3"/>
        </w:numPr>
        <w:spacing w:before="0" w:beforeAutospacing="0" w:after="0" w:afterAutospacing="0"/>
      </w:pPr>
      <w:r w:rsidRPr="006A7662">
        <w:t xml:space="preserve">E. Senbetta, "Curing and Curing Materials." eds. P. </w:t>
      </w:r>
      <w:proofErr w:type="spellStart"/>
      <w:r w:rsidRPr="006A7662">
        <w:t>Klieger</w:t>
      </w:r>
      <w:proofErr w:type="spellEnd"/>
      <w:r w:rsidRPr="006A7662">
        <w:t xml:space="preserve"> and J. Lamond </w:t>
      </w:r>
      <w:r w:rsidRPr="006A7662">
        <w:rPr>
          <w:i/>
          <w:iCs/>
        </w:rPr>
        <w:t>STP169C-EB Significance of Tests and Properties of Concrete and Concrete-Making Materials</w:t>
      </w:r>
      <w:r w:rsidRPr="006A7662">
        <w:t>. West Conshohocken, PA: ASTM International, 1994. 478-483. Web. 10 Aug 2021. </w:t>
      </w:r>
      <w:hyperlink r:id="rId9" w:history="1">
        <w:r w:rsidRPr="006A7662">
          <w:rPr>
            <w:rStyle w:val="Hyperlink"/>
          </w:rPr>
          <w:t>&lt;https://doi.org/10.1520/STP36442S&gt;</w:t>
        </w:r>
      </w:hyperlink>
      <w:r w:rsidR="00912A0D" w:rsidRPr="00912A0D">
        <w:t>.</w:t>
      </w:r>
    </w:p>
    <w:p w14:paraId="7CF05A3F" w14:textId="77777777" w:rsidR="00DA2E92" w:rsidRDefault="00DA2E92" w:rsidP="00DA2E92">
      <w:pPr>
        <w:pStyle w:val="NormalWeb"/>
        <w:spacing w:before="0" w:beforeAutospacing="0" w:after="0" w:afterAutospacing="0"/>
        <w:ind w:left="720"/>
      </w:pPr>
    </w:p>
    <w:p w14:paraId="0880CE95" w14:textId="512B3B43" w:rsidR="00DA2E92" w:rsidRDefault="006A7662" w:rsidP="00DA2E92">
      <w:pPr>
        <w:pStyle w:val="NormalWeb"/>
        <w:numPr>
          <w:ilvl w:val="0"/>
          <w:numId w:val="3"/>
        </w:numPr>
        <w:spacing w:before="0" w:beforeAutospacing="0" w:after="0" w:afterAutospacing="0"/>
      </w:pPr>
      <w:r w:rsidRPr="006A7662">
        <w:t>Radlinski, Mateusz, and Jan Olek. “Effects of Curing Conditions on the Properties of Ternary (Ordinary Portland Cement/Fly Ash/Silica Fume) Concrete.” </w:t>
      </w:r>
      <w:r w:rsidRPr="006A7662">
        <w:rPr>
          <w:i/>
          <w:iCs/>
        </w:rPr>
        <w:t>ACI Materials Journal</w:t>
      </w:r>
      <w:r w:rsidRPr="006A7662">
        <w:t>, vol. 112, no. 1, 2015, pp. 49–58., doi:10.14359/51687307.</w:t>
      </w:r>
      <w:r w:rsidR="00DA2E92">
        <w:t xml:space="preserve"> </w:t>
      </w:r>
    </w:p>
    <w:p w14:paraId="4FE83647" w14:textId="77777777" w:rsidR="00DA2E92" w:rsidRDefault="00DA2E92" w:rsidP="00DA2E92">
      <w:pPr>
        <w:pStyle w:val="NormalWeb"/>
        <w:spacing w:before="0" w:beforeAutospacing="0" w:after="0" w:afterAutospacing="0"/>
        <w:ind w:left="720"/>
      </w:pPr>
    </w:p>
    <w:p w14:paraId="3F62A435" w14:textId="535CE833" w:rsidR="00DA2E92" w:rsidRDefault="00DA2E92" w:rsidP="00DA2E92">
      <w:pPr>
        <w:pStyle w:val="NormalWeb"/>
        <w:numPr>
          <w:ilvl w:val="0"/>
          <w:numId w:val="3"/>
        </w:numPr>
        <w:spacing w:before="0" w:beforeAutospacing="0" w:after="0" w:afterAutospacing="0"/>
      </w:pPr>
      <w:r>
        <w:t>Goel, Ajay, Jyoti Narwal, Vivek Verma, Devender Sharma, and Bhupinder Singh. "A Comparative Study on the Effect of Curing on the Strength of Concrete." International Journal of Engineering and Advanced Technology (IJEAT) 2 (2013): 401-406.</w:t>
      </w:r>
    </w:p>
    <w:p w14:paraId="2E44D6DA" w14:textId="77777777" w:rsidR="00DA2E92" w:rsidRDefault="00DA2E92" w:rsidP="00DA2E92">
      <w:pPr>
        <w:pStyle w:val="NormalWeb"/>
        <w:spacing w:before="0" w:beforeAutospacing="0" w:after="0" w:afterAutospacing="0"/>
        <w:ind w:left="720"/>
      </w:pPr>
    </w:p>
    <w:p w14:paraId="76C3151F" w14:textId="5E4DAD5D" w:rsidR="00844732" w:rsidRDefault="00431E79" w:rsidP="00844732">
      <w:pPr>
        <w:pStyle w:val="NormalWeb"/>
        <w:numPr>
          <w:ilvl w:val="0"/>
          <w:numId w:val="3"/>
        </w:numPr>
        <w:spacing w:before="0" w:beforeAutospacing="0" w:after="0" w:afterAutospacing="0"/>
      </w:pPr>
      <w:r>
        <w:t>Senbetta, E.</w:t>
      </w:r>
      <w:r w:rsidR="00844732">
        <w:t xml:space="preserve"> &amp; Malchow, G. (1987). “</w:t>
      </w:r>
      <w:r w:rsidR="00844732" w:rsidRPr="00844732">
        <w:t>Studies on Control of Durability of Concrete Through Proper Curing</w:t>
      </w:r>
      <w:r w:rsidR="00844732">
        <w:t xml:space="preserve">.” </w:t>
      </w:r>
      <w:r w:rsidR="00844732" w:rsidRPr="00844732">
        <w:rPr>
          <w:i/>
        </w:rPr>
        <w:t xml:space="preserve">Symposium Paper, </w:t>
      </w:r>
      <w:r w:rsidR="00844732" w:rsidRPr="00890F73">
        <w:t>100</w:t>
      </w:r>
      <w:r w:rsidR="00844732">
        <w:rPr>
          <w:i/>
        </w:rPr>
        <w:t xml:space="preserve">, </w:t>
      </w:r>
      <w:r w:rsidR="00844732" w:rsidRPr="00844732">
        <w:t>73-88</w:t>
      </w:r>
      <w:r w:rsidR="00844732">
        <w:t xml:space="preserve">. </w:t>
      </w:r>
      <w:hyperlink r:id="rId10" w:history="1">
        <w:r w:rsidR="00844732" w:rsidRPr="00E73F90">
          <w:rPr>
            <w:rStyle w:val="Hyperlink"/>
          </w:rPr>
          <w:t>https://www.concrete.org/publications/internationalconcreteabstractsportal/m/details/id/3306</w:t>
        </w:r>
      </w:hyperlink>
    </w:p>
    <w:p w14:paraId="6500AEFC" w14:textId="77777777" w:rsidR="00844732" w:rsidRDefault="00844732" w:rsidP="00844732">
      <w:pPr>
        <w:pStyle w:val="NormalWeb"/>
        <w:spacing w:before="0" w:beforeAutospacing="0" w:after="0" w:afterAutospacing="0"/>
        <w:ind w:left="720"/>
      </w:pPr>
    </w:p>
    <w:p w14:paraId="514EFD06" w14:textId="00B6FB89" w:rsidR="00844732" w:rsidRDefault="004F1EDF" w:rsidP="00844732">
      <w:pPr>
        <w:pStyle w:val="NormalWeb"/>
        <w:numPr>
          <w:ilvl w:val="0"/>
          <w:numId w:val="3"/>
        </w:numPr>
        <w:spacing w:before="0" w:beforeAutospacing="0" w:after="0" w:afterAutospacing="0"/>
      </w:pPr>
      <w:bookmarkStart w:id="0" w:name="_Hlk79471115"/>
      <w:r>
        <w:t xml:space="preserve">ACI Committee 332. (2014). ACI 332-14: </w:t>
      </w:r>
      <w:r w:rsidRPr="004F1EDF">
        <w:rPr>
          <w:i/>
        </w:rPr>
        <w:t>Residential Code Requirements for Structural Concrete</w:t>
      </w:r>
      <w:r>
        <w:t xml:space="preserve">. </w:t>
      </w:r>
      <w:r w:rsidRPr="004F1EDF">
        <w:t>Farmington Hill, MI: American Concrete Institute.</w:t>
      </w:r>
    </w:p>
    <w:bookmarkEnd w:id="0"/>
    <w:p w14:paraId="06DC73C4" w14:textId="77777777" w:rsidR="004F1EDF" w:rsidRDefault="004F1EDF" w:rsidP="004F1EDF">
      <w:pPr>
        <w:pStyle w:val="NormalWeb"/>
        <w:spacing w:before="0" w:beforeAutospacing="0" w:after="0" w:afterAutospacing="0"/>
        <w:ind w:left="720"/>
      </w:pPr>
    </w:p>
    <w:p w14:paraId="526AAAE6" w14:textId="4B379E94" w:rsidR="004F1EDF" w:rsidRDefault="004F1EDF" w:rsidP="004F1EDF">
      <w:pPr>
        <w:pStyle w:val="NormalWeb"/>
        <w:numPr>
          <w:ilvl w:val="0"/>
          <w:numId w:val="3"/>
        </w:numPr>
        <w:spacing w:before="0" w:beforeAutospacing="0" w:after="0" w:afterAutospacing="0"/>
      </w:pPr>
      <w:r>
        <w:t xml:space="preserve">ACI Committee 332. (2020). ACI 332-14: </w:t>
      </w:r>
      <w:r w:rsidRPr="004F1EDF">
        <w:rPr>
          <w:i/>
        </w:rPr>
        <w:t xml:space="preserve">Code Requirements for </w:t>
      </w:r>
      <w:r>
        <w:rPr>
          <w:i/>
        </w:rPr>
        <w:t>Residential</w:t>
      </w:r>
      <w:r w:rsidRPr="004F1EDF">
        <w:rPr>
          <w:i/>
        </w:rPr>
        <w:t xml:space="preserve"> Concrete</w:t>
      </w:r>
      <w:r>
        <w:t xml:space="preserve">. </w:t>
      </w:r>
      <w:r w:rsidRPr="004F1EDF">
        <w:t>Farmington Hill, MI: American Concrete Institute.</w:t>
      </w:r>
    </w:p>
    <w:p w14:paraId="2FCB74E0" w14:textId="77777777" w:rsidR="004F1EDF" w:rsidRDefault="004F1EDF" w:rsidP="004F1EDF">
      <w:pPr>
        <w:pStyle w:val="NormalWeb"/>
        <w:spacing w:before="0" w:beforeAutospacing="0" w:after="0" w:afterAutospacing="0"/>
        <w:ind w:left="720"/>
      </w:pPr>
    </w:p>
    <w:p w14:paraId="75882490" w14:textId="77777777" w:rsidR="004F1EDF" w:rsidRPr="004F1EDF" w:rsidRDefault="004F1EDF" w:rsidP="004F1EDF">
      <w:pPr>
        <w:pStyle w:val="ListParagraph"/>
        <w:numPr>
          <w:ilvl w:val="0"/>
          <w:numId w:val="3"/>
        </w:numPr>
        <w:rPr>
          <w:rFonts w:eastAsia="Times New Roman" w:cs="Times New Roman"/>
          <w:szCs w:val="24"/>
        </w:rPr>
      </w:pPr>
      <w:r w:rsidRPr="004F1EDF">
        <w:rPr>
          <w:rFonts w:eastAsia="Times New Roman" w:cs="Times New Roman"/>
          <w:szCs w:val="24"/>
        </w:rPr>
        <w:t xml:space="preserve">ASTM Standard C192. (2018). “Standard practice for making and curing concrete test </w:t>
      </w:r>
    </w:p>
    <w:p w14:paraId="02EFB110" w14:textId="4E44B762" w:rsidR="004F1EDF" w:rsidRDefault="004F1EDF" w:rsidP="004F1EDF">
      <w:pPr>
        <w:pStyle w:val="ListParagraph"/>
        <w:rPr>
          <w:rFonts w:eastAsia="Times New Roman" w:cs="Times New Roman"/>
          <w:szCs w:val="24"/>
        </w:rPr>
      </w:pPr>
      <w:r w:rsidRPr="004F1EDF">
        <w:rPr>
          <w:rFonts w:eastAsia="Times New Roman" w:cs="Times New Roman"/>
          <w:szCs w:val="24"/>
        </w:rPr>
        <w:t xml:space="preserve">specimens in the laboratory.” ASTM International, West Conshohocken, PA, 2018. </w:t>
      </w:r>
      <w:proofErr w:type="spellStart"/>
      <w:r w:rsidRPr="004F1EDF">
        <w:rPr>
          <w:rFonts w:eastAsia="Times New Roman" w:cs="Times New Roman"/>
          <w:szCs w:val="24"/>
        </w:rPr>
        <w:t>doi</w:t>
      </w:r>
      <w:proofErr w:type="spellEnd"/>
      <w:r w:rsidRPr="004F1EDF">
        <w:rPr>
          <w:rFonts w:eastAsia="Times New Roman" w:cs="Times New Roman"/>
          <w:szCs w:val="24"/>
        </w:rPr>
        <w:t xml:space="preserve">: </w:t>
      </w:r>
      <w:hyperlink r:id="rId11" w:history="1">
        <w:r w:rsidRPr="004F1EDF">
          <w:rPr>
            <w:rStyle w:val="Hyperlink"/>
            <w:rFonts w:eastAsia="Times New Roman" w:cs="Times New Roman"/>
            <w:szCs w:val="24"/>
          </w:rPr>
          <w:t>https://doi.org/10.1520/C0192_C0192M-18</w:t>
        </w:r>
      </w:hyperlink>
    </w:p>
    <w:p w14:paraId="3D3C07BD" w14:textId="77777777" w:rsidR="004F1EDF" w:rsidRPr="004F1EDF" w:rsidRDefault="004F1EDF" w:rsidP="004F1EDF">
      <w:pPr>
        <w:pStyle w:val="ListParagraph"/>
        <w:rPr>
          <w:rFonts w:eastAsia="Times New Roman" w:cs="Times New Roman"/>
          <w:szCs w:val="24"/>
          <w:u w:val="single"/>
        </w:rPr>
      </w:pPr>
    </w:p>
    <w:p w14:paraId="50105941" w14:textId="05991889" w:rsidR="004F1EDF" w:rsidRPr="00031B17" w:rsidRDefault="004F1EDF" w:rsidP="00031B17">
      <w:pPr>
        <w:pStyle w:val="NormalWeb"/>
        <w:numPr>
          <w:ilvl w:val="0"/>
          <w:numId w:val="3"/>
        </w:numPr>
        <w:spacing w:before="0" w:beforeAutospacing="0" w:after="0" w:afterAutospacing="0"/>
      </w:pPr>
      <w:r w:rsidRPr="004F1EDF">
        <w:rPr>
          <w:rFonts w:eastAsia="Calibri"/>
          <w:iCs/>
        </w:rPr>
        <w:t>AASHTO T 358-17.  “Standard Method of Test for Surface Resistivity Indication of Concrete’s Ability to Resist Chloride Ion Penetration”. American Association of State Highway and Transportation Officials. Provisional Standards, 2017 edition, April 2017.</w:t>
      </w:r>
    </w:p>
    <w:p w14:paraId="5D4EF7D0" w14:textId="77777777" w:rsidR="00031B17" w:rsidRPr="004F1EDF" w:rsidRDefault="00031B17" w:rsidP="00031B17">
      <w:pPr>
        <w:pStyle w:val="NormalWeb"/>
        <w:spacing w:before="0" w:beforeAutospacing="0" w:after="0" w:afterAutospacing="0"/>
        <w:ind w:left="720"/>
      </w:pPr>
    </w:p>
    <w:p w14:paraId="3C623A8D" w14:textId="52E2B0D2" w:rsidR="00031B17" w:rsidRDefault="00031B17" w:rsidP="00031B17">
      <w:pPr>
        <w:pStyle w:val="NormalWeb"/>
        <w:numPr>
          <w:ilvl w:val="0"/>
          <w:numId w:val="3"/>
        </w:numPr>
        <w:spacing w:before="0" w:beforeAutospacing="0" w:after="0" w:afterAutospacing="0"/>
      </w:pPr>
      <w:r>
        <w:t xml:space="preserve">ASTM Standard C39. (2018). “Standard test method for compressive </w:t>
      </w:r>
      <w:proofErr w:type="gramStart"/>
      <w:r>
        <w:t>strength  of</w:t>
      </w:r>
      <w:proofErr w:type="gramEnd"/>
      <w:r>
        <w:t xml:space="preserve"> cylindrical concrete specimens.” ASTM International, West Conshohocken, PA, 2018. </w:t>
      </w:r>
      <w:proofErr w:type="spellStart"/>
      <w:r>
        <w:t>doi</w:t>
      </w:r>
      <w:proofErr w:type="spellEnd"/>
      <w:r>
        <w:t xml:space="preserve">: </w:t>
      </w:r>
      <w:hyperlink r:id="rId12" w:history="1">
        <w:r w:rsidRPr="00DD1476">
          <w:rPr>
            <w:rStyle w:val="Hyperlink"/>
          </w:rPr>
          <w:t>https://doi.org/10.1520/C0039_C0039M-18</w:t>
        </w:r>
      </w:hyperlink>
    </w:p>
    <w:p w14:paraId="5DA637F0" w14:textId="77777777" w:rsidR="00031B17" w:rsidRDefault="00031B17" w:rsidP="00031B17">
      <w:pPr>
        <w:pStyle w:val="NormalWeb"/>
        <w:spacing w:before="0" w:beforeAutospacing="0" w:after="0" w:afterAutospacing="0"/>
        <w:ind w:left="720"/>
      </w:pPr>
    </w:p>
    <w:p w14:paraId="1047AF63" w14:textId="77777777" w:rsidR="00031B17" w:rsidRPr="00031B17" w:rsidRDefault="00031B17" w:rsidP="00031B17">
      <w:pPr>
        <w:pStyle w:val="ListParagraph"/>
        <w:numPr>
          <w:ilvl w:val="0"/>
          <w:numId w:val="3"/>
        </w:numPr>
        <w:contextualSpacing w:val="0"/>
        <w:rPr>
          <w:rFonts w:eastAsia="Calibri" w:cs="Times New Roman"/>
          <w:szCs w:val="24"/>
        </w:rPr>
      </w:pPr>
      <w:r w:rsidRPr="00031B17">
        <w:rPr>
          <w:rFonts w:eastAsia="Calibri" w:cs="Times New Roman"/>
          <w:szCs w:val="24"/>
        </w:rPr>
        <w:t xml:space="preserve">ASTM Standard C496. (2017). “Standard test method for splitting tensile strength of </w:t>
      </w:r>
    </w:p>
    <w:p w14:paraId="29201C11" w14:textId="5ABEB2AB" w:rsidR="00031B17" w:rsidRDefault="00031B17" w:rsidP="00031B17">
      <w:pPr>
        <w:pStyle w:val="ListParagraph"/>
        <w:contextualSpacing w:val="0"/>
        <w:rPr>
          <w:rFonts w:eastAsia="Calibri" w:cs="Times New Roman"/>
          <w:szCs w:val="24"/>
          <w:u w:val="single"/>
        </w:rPr>
      </w:pPr>
      <w:r w:rsidRPr="00031B17">
        <w:rPr>
          <w:rFonts w:eastAsia="Calibri" w:cs="Times New Roman"/>
          <w:szCs w:val="24"/>
        </w:rPr>
        <w:t xml:space="preserve">cylindrical concrete specimens.” ASTM International, West Conshohocken, PA, 2017. </w:t>
      </w:r>
      <w:proofErr w:type="spellStart"/>
      <w:r w:rsidRPr="00031B17">
        <w:rPr>
          <w:rFonts w:eastAsia="Calibri" w:cs="Times New Roman"/>
          <w:szCs w:val="24"/>
        </w:rPr>
        <w:t>doi</w:t>
      </w:r>
      <w:proofErr w:type="spellEnd"/>
      <w:r w:rsidRPr="00031B17">
        <w:rPr>
          <w:rFonts w:eastAsia="Calibri" w:cs="Times New Roman"/>
          <w:szCs w:val="24"/>
        </w:rPr>
        <w:t>:</w:t>
      </w:r>
      <w:r w:rsidRPr="00031B17">
        <w:rPr>
          <w:rFonts w:eastAsia="Calibri" w:cs="Times New Roman"/>
        </w:rPr>
        <w:t xml:space="preserve"> </w:t>
      </w:r>
      <w:hyperlink r:id="rId13" w:history="1">
        <w:r w:rsidRPr="00031B17">
          <w:rPr>
            <w:rFonts w:eastAsia="Calibri" w:cs="Times New Roman"/>
            <w:szCs w:val="24"/>
            <w:u w:val="single"/>
          </w:rPr>
          <w:t>https://doi.org/10.1520/C0496_C0496M-17</w:t>
        </w:r>
      </w:hyperlink>
    </w:p>
    <w:p w14:paraId="60D92875" w14:textId="77777777" w:rsidR="00031B17" w:rsidRPr="00031B17" w:rsidRDefault="00031B17" w:rsidP="00031B17">
      <w:pPr>
        <w:pStyle w:val="ListParagraph"/>
        <w:contextualSpacing w:val="0"/>
        <w:rPr>
          <w:rFonts w:eastAsia="Calibri" w:cs="Times New Roman"/>
          <w:szCs w:val="24"/>
          <w:u w:val="single"/>
        </w:rPr>
      </w:pPr>
    </w:p>
    <w:p w14:paraId="708CB0D0" w14:textId="77777777" w:rsidR="00031B17" w:rsidRDefault="00031B17" w:rsidP="00031B17">
      <w:pPr>
        <w:pStyle w:val="Bibiliography"/>
        <w:numPr>
          <w:ilvl w:val="0"/>
          <w:numId w:val="3"/>
        </w:numPr>
      </w:pPr>
      <w:r w:rsidRPr="001C6F68">
        <w:t xml:space="preserve">ASTM Standard C670. (2015). “Standard practice for preparing precision and bias </w:t>
      </w:r>
    </w:p>
    <w:p w14:paraId="60680163" w14:textId="77777777" w:rsidR="00031B17" w:rsidRDefault="00031B17" w:rsidP="00031B17">
      <w:pPr>
        <w:pStyle w:val="Bibiliography"/>
        <w:numPr>
          <w:ilvl w:val="0"/>
          <w:numId w:val="0"/>
        </w:numPr>
        <w:ind w:left="720"/>
        <w:rPr>
          <w:rStyle w:val="Hyperlink"/>
        </w:rPr>
      </w:pPr>
      <w:r w:rsidRPr="001C6F68">
        <w:t xml:space="preserve">statements for test methods for construction materials.” ASTM International, West Conshohocken, PA, 2015. </w:t>
      </w:r>
      <w:proofErr w:type="spellStart"/>
      <w:r w:rsidRPr="001C6F68">
        <w:t>doi</w:t>
      </w:r>
      <w:proofErr w:type="spellEnd"/>
      <w:r w:rsidRPr="001C6F68">
        <w:t>:</w:t>
      </w:r>
      <w:r w:rsidRPr="001C6F68">
        <w:rPr>
          <w:rFonts w:cstheme="minorBidi"/>
          <w:szCs w:val="22"/>
        </w:rPr>
        <w:t xml:space="preserve"> </w:t>
      </w:r>
      <w:hyperlink r:id="rId14" w:history="1">
        <w:r w:rsidRPr="001C6F68">
          <w:rPr>
            <w:rStyle w:val="Hyperlink"/>
          </w:rPr>
          <w:t>https://doi.org/10.1520/C0670-15</w:t>
        </w:r>
      </w:hyperlink>
    </w:p>
    <w:p w14:paraId="110A2D7A" w14:textId="77777777" w:rsidR="00031B17" w:rsidRPr="001C6F68" w:rsidRDefault="00031B17" w:rsidP="00031B17">
      <w:pPr>
        <w:pStyle w:val="Bibiliography"/>
        <w:numPr>
          <w:ilvl w:val="0"/>
          <w:numId w:val="0"/>
        </w:numPr>
        <w:ind w:left="720"/>
      </w:pPr>
    </w:p>
    <w:p w14:paraId="4C87F054" w14:textId="7E304BF2" w:rsidR="00031B17" w:rsidRDefault="00031B17" w:rsidP="00031B17">
      <w:pPr>
        <w:pStyle w:val="Heading1"/>
      </w:pPr>
      <w:r>
        <w:t>Acknowledgements</w:t>
      </w:r>
    </w:p>
    <w:p w14:paraId="1DDE7B67" w14:textId="7B30D4E3" w:rsidR="00031B17" w:rsidRDefault="00031B17" w:rsidP="00031B17"/>
    <w:p w14:paraId="67FAF673" w14:textId="77777777" w:rsidR="00031B17" w:rsidRDefault="00031B17" w:rsidP="00031B17">
      <w:pPr>
        <w:rPr>
          <w:rFonts w:cs="Times New Roman"/>
          <w:szCs w:val="24"/>
        </w:rPr>
      </w:pPr>
      <w:r w:rsidRPr="0086168C">
        <w:rPr>
          <w:rFonts w:cs="Times New Roman"/>
          <w:szCs w:val="24"/>
        </w:rPr>
        <w:t>The authors appreciate the financial and technical support provided by the</w:t>
      </w:r>
      <w:r>
        <w:rPr>
          <w:rFonts w:cs="Times New Roman"/>
          <w:szCs w:val="24"/>
        </w:rPr>
        <w:t xml:space="preserve"> Tennessee Concrete Association.</w:t>
      </w:r>
    </w:p>
    <w:p w14:paraId="21CD84ED" w14:textId="77777777" w:rsidR="00031B17" w:rsidRDefault="00031B17" w:rsidP="00031B17"/>
    <w:p w14:paraId="7325E731" w14:textId="65396C39" w:rsidR="00057DCC" w:rsidRDefault="00031B17" w:rsidP="00031B17">
      <w:pPr>
        <w:rPr>
          <w:rFonts w:cs="Times New Roman"/>
          <w:szCs w:val="24"/>
        </w:rPr>
      </w:pPr>
      <w:r w:rsidRPr="0086168C">
        <w:rPr>
          <w:rFonts w:cs="Times New Roman"/>
          <w:szCs w:val="24"/>
        </w:rPr>
        <w:t>The authors would like to thank Denny Lind of BASF for extensive donations of chemical admixtures to the project. Also, the authors would like to thank Martin Medley for donations of materials used in this project.</w:t>
      </w:r>
    </w:p>
    <w:p w14:paraId="68EB86AB" w14:textId="77777777" w:rsidR="00031B17" w:rsidRDefault="00031B17" w:rsidP="00031B17"/>
    <w:p w14:paraId="2E9A4C87" w14:textId="77777777" w:rsidR="00031B17" w:rsidRDefault="00031B17" w:rsidP="00031B17">
      <w:pPr>
        <w:rPr>
          <w:rFonts w:cs="Times New Roman"/>
          <w:szCs w:val="24"/>
        </w:rPr>
      </w:pPr>
      <w:r w:rsidRPr="0086168C">
        <w:rPr>
          <w:rFonts w:cs="Times New Roman"/>
          <w:szCs w:val="24"/>
        </w:rPr>
        <w:t xml:space="preserve">In addition, the authors would like to thank Mark Davis for </w:t>
      </w:r>
      <w:r>
        <w:rPr>
          <w:rFonts w:cs="Times New Roman"/>
          <w:szCs w:val="24"/>
        </w:rPr>
        <w:t>his</w:t>
      </w:r>
      <w:r w:rsidRPr="0086168C">
        <w:rPr>
          <w:rFonts w:cs="Times New Roman"/>
          <w:szCs w:val="24"/>
        </w:rPr>
        <w:t xml:space="preserve"> patience and skill in fabrication, maintenance, and repair of the equipment. </w:t>
      </w:r>
    </w:p>
    <w:p w14:paraId="70769AED" w14:textId="77777777" w:rsidR="00031B17" w:rsidRDefault="00031B17" w:rsidP="00031B17">
      <w:pPr>
        <w:rPr>
          <w:rFonts w:cs="Times New Roman"/>
          <w:szCs w:val="24"/>
        </w:rPr>
      </w:pPr>
    </w:p>
    <w:p w14:paraId="112265AB" w14:textId="77777777" w:rsidR="00031B17" w:rsidRDefault="00031B17" w:rsidP="00031B17">
      <w:pPr>
        <w:rPr>
          <w:rFonts w:cs="Times New Roman"/>
          <w:szCs w:val="24"/>
        </w:rPr>
      </w:pPr>
      <w:r w:rsidRPr="0086168C">
        <w:rPr>
          <w:rFonts w:cs="Times New Roman"/>
          <w:szCs w:val="24"/>
        </w:rPr>
        <w:t xml:space="preserve">Further, we appreciate the financial support of the TTU Department of Civil and Environmental Engineering. </w:t>
      </w:r>
    </w:p>
    <w:p w14:paraId="6FA3166D" w14:textId="77777777" w:rsidR="00031B17" w:rsidRDefault="00031B17" w:rsidP="00031B17"/>
    <w:p w14:paraId="1B640AB1" w14:textId="67016AD8" w:rsidR="00031B17" w:rsidRDefault="00031B17" w:rsidP="00031B17">
      <w:pPr>
        <w:rPr>
          <w:rFonts w:cs="Times New Roman"/>
          <w:szCs w:val="24"/>
        </w:rPr>
      </w:pPr>
      <w:r w:rsidRPr="0086168C">
        <w:rPr>
          <w:rFonts w:cs="Times New Roman"/>
          <w:szCs w:val="24"/>
        </w:rPr>
        <w:lastRenderedPageBreak/>
        <w:t xml:space="preserve">Finally, the authors appreciate the administrative, financial and information technology support provided by the TTU Center for Energy Systems Research, particularly Dr. Satish Mahajan, Robert Craven, </w:t>
      </w:r>
      <w:r>
        <w:rPr>
          <w:rFonts w:cs="Times New Roman"/>
          <w:szCs w:val="24"/>
        </w:rPr>
        <w:t>Barbara Fenlon</w:t>
      </w:r>
      <w:r w:rsidRPr="0086168C">
        <w:rPr>
          <w:rFonts w:cs="Times New Roman"/>
          <w:szCs w:val="24"/>
        </w:rPr>
        <w:t>, and Anysa Milum</w:t>
      </w:r>
      <w:r>
        <w:rPr>
          <w:rFonts w:cs="Times New Roman"/>
          <w:szCs w:val="24"/>
        </w:rPr>
        <w:t>.</w:t>
      </w:r>
    </w:p>
    <w:p w14:paraId="3C6CD86E" w14:textId="36B7C662" w:rsidR="00031B17" w:rsidRDefault="00031B17" w:rsidP="00031B17"/>
    <w:p w14:paraId="43426FF3" w14:textId="6D37D7CE" w:rsidR="00031B17" w:rsidRDefault="00031B17" w:rsidP="00031B17">
      <w:pPr>
        <w:pStyle w:val="Heading1"/>
      </w:pPr>
      <w:r>
        <w:t>Author Information</w:t>
      </w:r>
    </w:p>
    <w:p w14:paraId="125EE716" w14:textId="5DD3E42C" w:rsidR="00031B17" w:rsidRDefault="00031B17" w:rsidP="00031B17"/>
    <w:p w14:paraId="24E55A22" w14:textId="28837412" w:rsidR="00031B17" w:rsidRDefault="00031B17" w:rsidP="00031B17">
      <w:r>
        <w:t>Robert Tyler Hughes, E.I.</w:t>
      </w:r>
      <w:r w:rsidR="00911053">
        <w:t>T.</w:t>
      </w:r>
      <w:r>
        <w:t xml:space="preserve"> is a civil engineering master’s student at Tennessee Technological University.</w:t>
      </w:r>
    </w:p>
    <w:p w14:paraId="73E55801" w14:textId="406E076A" w:rsidR="00031B17" w:rsidRDefault="00031B17" w:rsidP="00031B17"/>
    <w:p w14:paraId="121CF7F7" w14:textId="7C618C94" w:rsidR="00031B17" w:rsidRDefault="00031B17" w:rsidP="00031B17">
      <w:r>
        <w:t>L. K. Crouch, Ph.D., P.E. is a professor of Civil Engineering at Tennessee Technological University.</w:t>
      </w:r>
    </w:p>
    <w:p w14:paraId="455AFF67" w14:textId="4F04F326" w:rsidR="00031B17" w:rsidRDefault="00031B17" w:rsidP="00031B17"/>
    <w:p w14:paraId="7502C8E6" w14:textId="060549B7" w:rsidR="00031B17" w:rsidRDefault="00031B17" w:rsidP="00031B17">
      <w:pPr>
        <w:rPr>
          <w:iCs/>
        </w:rPr>
      </w:pPr>
      <w:r w:rsidRPr="00031B17">
        <w:rPr>
          <w:iCs/>
        </w:rPr>
        <w:t>Daniel Badoe, Ph.D. is a professor of Civil Engineering at Tennessee Technological University.</w:t>
      </w:r>
    </w:p>
    <w:p w14:paraId="13E993BA" w14:textId="02D4FA6D" w:rsidR="00057DCC" w:rsidRDefault="00057DCC" w:rsidP="00031B17">
      <w:pPr>
        <w:rPr>
          <w:iCs/>
        </w:rPr>
      </w:pPr>
    </w:p>
    <w:p w14:paraId="3F97CF63" w14:textId="65F4B16E" w:rsidR="00057DCC" w:rsidRPr="00031B17" w:rsidRDefault="00057DCC" w:rsidP="00031B17">
      <w:pPr>
        <w:rPr>
          <w:iCs/>
        </w:rPr>
      </w:pPr>
      <w:r>
        <w:rPr>
          <w:iCs/>
        </w:rPr>
        <w:t>Kyle Wendt is a future civil engineering master’s student and current civil engineering student at Tennessee Technological University.</w:t>
      </w:r>
    </w:p>
    <w:p w14:paraId="0BF0E5C1" w14:textId="29D27F48" w:rsidR="00031B17" w:rsidRDefault="00031B17" w:rsidP="00031B17"/>
    <w:p w14:paraId="738A766D" w14:textId="21923008" w:rsidR="00031B17" w:rsidRDefault="00031B17" w:rsidP="00031B17">
      <w:pPr>
        <w:rPr>
          <w:iCs/>
        </w:rPr>
      </w:pPr>
      <w:r w:rsidRPr="00031B17">
        <w:rPr>
          <w:iCs/>
        </w:rPr>
        <w:t xml:space="preserve">Alan Sparkman, CAE, LEED AP, </w:t>
      </w:r>
      <w:proofErr w:type="spellStart"/>
      <w:r w:rsidRPr="00031B17">
        <w:rPr>
          <w:iCs/>
        </w:rPr>
        <w:t>CCPf</w:t>
      </w:r>
      <w:proofErr w:type="spellEnd"/>
      <w:r w:rsidRPr="00031B17">
        <w:rPr>
          <w:iCs/>
        </w:rPr>
        <w:t>, is executive director of the Tennessee Concrete Association</w:t>
      </w:r>
      <w:r w:rsidR="00911053">
        <w:rPr>
          <w:iCs/>
        </w:rPr>
        <w:t>.</w:t>
      </w:r>
    </w:p>
    <w:p w14:paraId="00495B68" w14:textId="1944569C" w:rsidR="00911053" w:rsidRDefault="00911053" w:rsidP="00031B17">
      <w:pPr>
        <w:rPr>
          <w:iCs/>
        </w:rPr>
      </w:pPr>
    </w:p>
    <w:p w14:paraId="6DBB707E" w14:textId="1D056B6D" w:rsidR="00911053" w:rsidRPr="00031B17" w:rsidRDefault="00911053" w:rsidP="00031B17">
      <w:pPr>
        <w:rPr>
          <w:iCs/>
        </w:rPr>
      </w:pPr>
      <w:r>
        <w:rPr>
          <w:iCs/>
        </w:rPr>
        <w:t>John Pearson, P.E. is the technical services director of the Tennessee Concrete Association.</w:t>
      </w:r>
    </w:p>
    <w:p w14:paraId="0B69A668" w14:textId="77777777" w:rsidR="00031B17" w:rsidRDefault="00031B17" w:rsidP="00031B17"/>
    <w:p w14:paraId="581F3A75" w14:textId="6DAFB24C" w:rsidR="00031B17" w:rsidRPr="00031B17" w:rsidRDefault="00031B17" w:rsidP="00031B17">
      <w:pPr>
        <w:rPr>
          <w:b/>
        </w:rPr>
      </w:pPr>
    </w:p>
    <w:p w14:paraId="0338CBF0" w14:textId="77777777" w:rsidR="00031B17" w:rsidRDefault="00031B17" w:rsidP="00031B17">
      <w:pPr>
        <w:pStyle w:val="NormalWeb"/>
        <w:spacing w:before="0" w:beforeAutospacing="0"/>
        <w:ind w:left="720"/>
      </w:pPr>
    </w:p>
    <w:sectPr w:rsidR="0003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68"/>
    <w:multiLevelType w:val="hybridMultilevel"/>
    <w:tmpl w:val="FC06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3533"/>
    <w:multiLevelType w:val="hybridMultilevel"/>
    <w:tmpl w:val="2694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6E26"/>
    <w:multiLevelType w:val="hybridMultilevel"/>
    <w:tmpl w:val="DC64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82AEC"/>
    <w:multiLevelType w:val="hybridMultilevel"/>
    <w:tmpl w:val="9BFA595A"/>
    <w:lvl w:ilvl="0" w:tplc="37C4A200">
      <w:start w:val="1"/>
      <w:numFmt w:val="decimal"/>
      <w:pStyle w:val="Bibiliography"/>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17"/>
    <w:rsid w:val="00007B2F"/>
    <w:rsid w:val="00010CBE"/>
    <w:rsid w:val="0001293E"/>
    <w:rsid w:val="00031B17"/>
    <w:rsid w:val="00032DCE"/>
    <w:rsid w:val="00057DCC"/>
    <w:rsid w:val="00060280"/>
    <w:rsid w:val="00067AED"/>
    <w:rsid w:val="00094763"/>
    <w:rsid w:val="000956E8"/>
    <w:rsid w:val="000B63E5"/>
    <w:rsid w:val="000D6585"/>
    <w:rsid w:val="00110B3C"/>
    <w:rsid w:val="00126D14"/>
    <w:rsid w:val="0014588A"/>
    <w:rsid w:val="001522D3"/>
    <w:rsid w:val="00156AAF"/>
    <w:rsid w:val="00180141"/>
    <w:rsid w:val="0019670D"/>
    <w:rsid w:val="00197C14"/>
    <w:rsid w:val="001C420C"/>
    <w:rsid w:val="001D20C5"/>
    <w:rsid w:val="001D3DF6"/>
    <w:rsid w:val="00204A56"/>
    <w:rsid w:val="00213CB0"/>
    <w:rsid w:val="002A623B"/>
    <w:rsid w:val="002B3ABE"/>
    <w:rsid w:val="002E2522"/>
    <w:rsid w:val="00346E7C"/>
    <w:rsid w:val="00364C33"/>
    <w:rsid w:val="003B3FB2"/>
    <w:rsid w:val="003E7AD9"/>
    <w:rsid w:val="00424117"/>
    <w:rsid w:val="00431E79"/>
    <w:rsid w:val="00451540"/>
    <w:rsid w:val="00451B3E"/>
    <w:rsid w:val="00457535"/>
    <w:rsid w:val="00473C96"/>
    <w:rsid w:val="00492FB7"/>
    <w:rsid w:val="00493623"/>
    <w:rsid w:val="004A0B7D"/>
    <w:rsid w:val="004A7512"/>
    <w:rsid w:val="004B6B95"/>
    <w:rsid w:val="004C37B5"/>
    <w:rsid w:val="004E3846"/>
    <w:rsid w:val="004F1CB8"/>
    <w:rsid w:val="004F1EDF"/>
    <w:rsid w:val="00524290"/>
    <w:rsid w:val="00524BFC"/>
    <w:rsid w:val="0057047F"/>
    <w:rsid w:val="005C50BC"/>
    <w:rsid w:val="005C6932"/>
    <w:rsid w:val="005E6E72"/>
    <w:rsid w:val="0061158A"/>
    <w:rsid w:val="0061318A"/>
    <w:rsid w:val="00683DC0"/>
    <w:rsid w:val="00692223"/>
    <w:rsid w:val="006A7662"/>
    <w:rsid w:val="006A7E10"/>
    <w:rsid w:val="006D6ED2"/>
    <w:rsid w:val="00703AD7"/>
    <w:rsid w:val="00732011"/>
    <w:rsid w:val="00735F15"/>
    <w:rsid w:val="00746F84"/>
    <w:rsid w:val="00750AE4"/>
    <w:rsid w:val="007656E1"/>
    <w:rsid w:val="007B1B52"/>
    <w:rsid w:val="007B3FE7"/>
    <w:rsid w:val="007C4568"/>
    <w:rsid w:val="007D78F9"/>
    <w:rsid w:val="00804D9D"/>
    <w:rsid w:val="008137E1"/>
    <w:rsid w:val="00834F59"/>
    <w:rsid w:val="008411B0"/>
    <w:rsid w:val="00844732"/>
    <w:rsid w:val="00845A3E"/>
    <w:rsid w:val="00890F73"/>
    <w:rsid w:val="00897BC1"/>
    <w:rsid w:val="008B07FD"/>
    <w:rsid w:val="008C7DC9"/>
    <w:rsid w:val="00911053"/>
    <w:rsid w:val="00912A0D"/>
    <w:rsid w:val="00926B48"/>
    <w:rsid w:val="00947A04"/>
    <w:rsid w:val="00965129"/>
    <w:rsid w:val="00984257"/>
    <w:rsid w:val="00985C97"/>
    <w:rsid w:val="009974C9"/>
    <w:rsid w:val="009977DC"/>
    <w:rsid w:val="009B02C7"/>
    <w:rsid w:val="009B68B1"/>
    <w:rsid w:val="009C1EFB"/>
    <w:rsid w:val="009E289F"/>
    <w:rsid w:val="00A12C2D"/>
    <w:rsid w:val="00A4737A"/>
    <w:rsid w:val="00A77437"/>
    <w:rsid w:val="00A82FA1"/>
    <w:rsid w:val="00A833AE"/>
    <w:rsid w:val="00A906B8"/>
    <w:rsid w:val="00AA5C75"/>
    <w:rsid w:val="00AE6DD1"/>
    <w:rsid w:val="00AF0832"/>
    <w:rsid w:val="00AF38FE"/>
    <w:rsid w:val="00B02DB4"/>
    <w:rsid w:val="00B03F86"/>
    <w:rsid w:val="00B06CF8"/>
    <w:rsid w:val="00B25437"/>
    <w:rsid w:val="00B276CB"/>
    <w:rsid w:val="00B333A3"/>
    <w:rsid w:val="00B3479A"/>
    <w:rsid w:val="00B441CB"/>
    <w:rsid w:val="00B56EFE"/>
    <w:rsid w:val="00B87C98"/>
    <w:rsid w:val="00BD26C3"/>
    <w:rsid w:val="00BF3417"/>
    <w:rsid w:val="00C15940"/>
    <w:rsid w:val="00CB2338"/>
    <w:rsid w:val="00CD5772"/>
    <w:rsid w:val="00CD636E"/>
    <w:rsid w:val="00D11BFA"/>
    <w:rsid w:val="00D12049"/>
    <w:rsid w:val="00D34E91"/>
    <w:rsid w:val="00D61393"/>
    <w:rsid w:val="00D82F3A"/>
    <w:rsid w:val="00D9478F"/>
    <w:rsid w:val="00DA2E92"/>
    <w:rsid w:val="00DB36FE"/>
    <w:rsid w:val="00DD78F8"/>
    <w:rsid w:val="00DF4EEF"/>
    <w:rsid w:val="00E15C93"/>
    <w:rsid w:val="00E23AA2"/>
    <w:rsid w:val="00E64A35"/>
    <w:rsid w:val="00E80A43"/>
    <w:rsid w:val="00E9617A"/>
    <w:rsid w:val="00EA786E"/>
    <w:rsid w:val="00EC5428"/>
    <w:rsid w:val="00EE69C6"/>
    <w:rsid w:val="00EF06A9"/>
    <w:rsid w:val="00F06AAB"/>
    <w:rsid w:val="00F213F3"/>
    <w:rsid w:val="00F25462"/>
    <w:rsid w:val="00F946A9"/>
    <w:rsid w:val="00F9739A"/>
    <w:rsid w:val="00FA745D"/>
    <w:rsid w:val="00FC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86AE"/>
  <w15:chartTrackingRefBased/>
  <w15:docId w15:val="{14C32F28-382B-4C2B-80C4-F280AB6B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BE"/>
    <w:pPr>
      <w:spacing w:after="0" w:line="240" w:lineRule="auto"/>
      <w:contextualSpacing/>
    </w:pPr>
  </w:style>
  <w:style w:type="paragraph" w:styleId="Heading1">
    <w:name w:val="heading 1"/>
    <w:basedOn w:val="Normal"/>
    <w:next w:val="Normal"/>
    <w:link w:val="Heading1Char"/>
    <w:uiPriority w:val="9"/>
    <w:qFormat/>
    <w:rsid w:val="002B3ABE"/>
    <w:pPr>
      <w:keepNext/>
      <w:keepLines/>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117"/>
    <w:pPr>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424117"/>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2B3ABE"/>
    <w:rPr>
      <w:rFonts w:eastAsiaTheme="majorEastAsia" w:cstheme="majorBidi"/>
      <w:b/>
      <w:caps/>
      <w:szCs w:val="32"/>
    </w:rPr>
  </w:style>
  <w:style w:type="paragraph" w:styleId="Caption">
    <w:name w:val="caption"/>
    <w:basedOn w:val="Normal"/>
    <w:next w:val="Normal"/>
    <w:uiPriority w:val="35"/>
    <w:unhideWhenUsed/>
    <w:qFormat/>
    <w:rsid w:val="009C1EFB"/>
    <w:pPr>
      <w:spacing w:after="200"/>
    </w:pPr>
    <w:rPr>
      <w:i/>
      <w:iCs/>
      <w:color w:val="44546A" w:themeColor="text2"/>
      <w:sz w:val="18"/>
      <w:szCs w:val="18"/>
    </w:rPr>
  </w:style>
  <w:style w:type="paragraph" w:styleId="ListParagraph">
    <w:name w:val="List Paragraph"/>
    <w:basedOn w:val="Normal"/>
    <w:uiPriority w:val="34"/>
    <w:qFormat/>
    <w:rsid w:val="00EC5428"/>
    <w:pPr>
      <w:ind w:left="720"/>
    </w:pPr>
  </w:style>
  <w:style w:type="paragraph" w:styleId="NormalWeb">
    <w:name w:val="Normal (Web)"/>
    <w:basedOn w:val="Normal"/>
    <w:uiPriority w:val="99"/>
    <w:unhideWhenUsed/>
    <w:rsid w:val="006D6ED2"/>
    <w:pPr>
      <w:spacing w:before="100" w:beforeAutospacing="1" w:after="100" w:afterAutospacing="1"/>
      <w:contextualSpacing w:val="0"/>
    </w:pPr>
    <w:rPr>
      <w:rFonts w:eastAsia="Times New Roman" w:cs="Times New Roman"/>
      <w:szCs w:val="24"/>
    </w:rPr>
  </w:style>
  <w:style w:type="character" w:styleId="Hyperlink">
    <w:name w:val="Hyperlink"/>
    <w:basedOn w:val="DefaultParagraphFont"/>
    <w:uiPriority w:val="99"/>
    <w:unhideWhenUsed/>
    <w:rsid w:val="00DA2E92"/>
    <w:rPr>
      <w:color w:val="0563C1" w:themeColor="hyperlink"/>
      <w:u w:val="single"/>
    </w:rPr>
  </w:style>
  <w:style w:type="character" w:styleId="UnresolvedMention">
    <w:name w:val="Unresolved Mention"/>
    <w:basedOn w:val="DefaultParagraphFont"/>
    <w:uiPriority w:val="99"/>
    <w:semiHidden/>
    <w:unhideWhenUsed/>
    <w:rsid w:val="00DA2E92"/>
    <w:rPr>
      <w:color w:val="605E5C"/>
      <w:shd w:val="clear" w:color="auto" w:fill="E1DFDD"/>
    </w:rPr>
  </w:style>
  <w:style w:type="paragraph" w:customStyle="1" w:styleId="Bibiliography">
    <w:name w:val="Bibiliography"/>
    <w:basedOn w:val="Normal"/>
    <w:link w:val="BibiliographyChar"/>
    <w:qFormat/>
    <w:rsid w:val="00031B17"/>
    <w:pPr>
      <w:numPr>
        <w:numId w:val="4"/>
      </w:numPr>
      <w:ind w:hanging="720"/>
      <w:contextualSpacing w:val="0"/>
    </w:pPr>
    <w:rPr>
      <w:rFonts w:cs="Times New Roman"/>
      <w:szCs w:val="24"/>
    </w:rPr>
  </w:style>
  <w:style w:type="character" w:customStyle="1" w:styleId="BibiliographyChar">
    <w:name w:val="Bibiliography Char"/>
    <w:basedOn w:val="DefaultParagraphFont"/>
    <w:link w:val="Bibiliography"/>
    <w:rsid w:val="00031B1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931">
      <w:bodyDiv w:val="1"/>
      <w:marLeft w:val="0"/>
      <w:marRight w:val="0"/>
      <w:marTop w:val="0"/>
      <w:marBottom w:val="0"/>
      <w:divBdr>
        <w:top w:val="none" w:sz="0" w:space="0" w:color="auto"/>
        <w:left w:val="none" w:sz="0" w:space="0" w:color="auto"/>
        <w:bottom w:val="none" w:sz="0" w:space="0" w:color="auto"/>
        <w:right w:val="none" w:sz="0" w:space="0" w:color="auto"/>
      </w:divBdr>
    </w:div>
    <w:div w:id="220020556">
      <w:bodyDiv w:val="1"/>
      <w:marLeft w:val="0"/>
      <w:marRight w:val="0"/>
      <w:marTop w:val="0"/>
      <w:marBottom w:val="0"/>
      <w:divBdr>
        <w:top w:val="none" w:sz="0" w:space="0" w:color="auto"/>
        <w:left w:val="none" w:sz="0" w:space="0" w:color="auto"/>
        <w:bottom w:val="none" w:sz="0" w:space="0" w:color="auto"/>
        <w:right w:val="none" w:sz="0" w:space="0" w:color="auto"/>
      </w:divBdr>
    </w:div>
    <w:div w:id="283388644">
      <w:bodyDiv w:val="1"/>
      <w:marLeft w:val="0"/>
      <w:marRight w:val="0"/>
      <w:marTop w:val="0"/>
      <w:marBottom w:val="0"/>
      <w:divBdr>
        <w:top w:val="none" w:sz="0" w:space="0" w:color="auto"/>
        <w:left w:val="none" w:sz="0" w:space="0" w:color="auto"/>
        <w:bottom w:val="none" w:sz="0" w:space="0" w:color="auto"/>
        <w:right w:val="none" w:sz="0" w:space="0" w:color="auto"/>
      </w:divBdr>
    </w:div>
    <w:div w:id="331951886">
      <w:bodyDiv w:val="1"/>
      <w:marLeft w:val="0"/>
      <w:marRight w:val="0"/>
      <w:marTop w:val="0"/>
      <w:marBottom w:val="0"/>
      <w:divBdr>
        <w:top w:val="none" w:sz="0" w:space="0" w:color="auto"/>
        <w:left w:val="none" w:sz="0" w:space="0" w:color="auto"/>
        <w:bottom w:val="none" w:sz="0" w:space="0" w:color="auto"/>
        <w:right w:val="none" w:sz="0" w:space="0" w:color="auto"/>
      </w:divBdr>
    </w:div>
    <w:div w:id="477187264">
      <w:bodyDiv w:val="1"/>
      <w:marLeft w:val="0"/>
      <w:marRight w:val="0"/>
      <w:marTop w:val="0"/>
      <w:marBottom w:val="0"/>
      <w:divBdr>
        <w:top w:val="none" w:sz="0" w:space="0" w:color="auto"/>
        <w:left w:val="none" w:sz="0" w:space="0" w:color="auto"/>
        <w:bottom w:val="none" w:sz="0" w:space="0" w:color="auto"/>
        <w:right w:val="none" w:sz="0" w:space="0" w:color="auto"/>
      </w:divBdr>
    </w:div>
    <w:div w:id="590623729">
      <w:bodyDiv w:val="1"/>
      <w:marLeft w:val="0"/>
      <w:marRight w:val="0"/>
      <w:marTop w:val="0"/>
      <w:marBottom w:val="0"/>
      <w:divBdr>
        <w:top w:val="none" w:sz="0" w:space="0" w:color="auto"/>
        <w:left w:val="none" w:sz="0" w:space="0" w:color="auto"/>
        <w:bottom w:val="none" w:sz="0" w:space="0" w:color="auto"/>
        <w:right w:val="none" w:sz="0" w:space="0" w:color="auto"/>
      </w:divBdr>
    </w:div>
    <w:div w:id="616448366">
      <w:bodyDiv w:val="1"/>
      <w:marLeft w:val="0"/>
      <w:marRight w:val="0"/>
      <w:marTop w:val="0"/>
      <w:marBottom w:val="0"/>
      <w:divBdr>
        <w:top w:val="none" w:sz="0" w:space="0" w:color="auto"/>
        <w:left w:val="none" w:sz="0" w:space="0" w:color="auto"/>
        <w:bottom w:val="none" w:sz="0" w:space="0" w:color="auto"/>
        <w:right w:val="none" w:sz="0" w:space="0" w:color="auto"/>
      </w:divBdr>
    </w:div>
    <w:div w:id="724060341">
      <w:bodyDiv w:val="1"/>
      <w:marLeft w:val="0"/>
      <w:marRight w:val="0"/>
      <w:marTop w:val="0"/>
      <w:marBottom w:val="0"/>
      <w:divBdr>
        <w:top w:val="none" w:sz="0" w:space="0" w:color="auto"/>
        <w:left w:val="none" w:sz="0" w:space="0" w:color="auto"/>
        <w:bottom w:val="none" w:sz="0" w:space="0" w:color="auto"/>
        <w:right w:val="none" w:sz="0" w:space="0" w:color="auto"/>
      </w:divBdr>
    </w:div>
    <w:div w:id="759760789">
      <w:bodyDiv w:val="1"/>
      <w:marLeft w:val="0"/>
      <w:marRight w:val="0"/>
      <w:marTop w:val="0"/>
      <w:marBottom w:val="0"/>
      <w:divBdr>
        <w:top w:val="none" w:sz="0" w:space="0" w:color="auto"/>
        <w:left w:val="none" w:sz="0" w:space="0" w:color="auto"/>
        <w:bottom w:val="none" w:sz="0" w:space="0" w:color="auto"/>
        <w:right w:val="none" w:sz="0" w:space="0" w:color="auto"/>
      </w:divBdr>
    </w:div>
    <w:div w:id="790439483">
      <w:bodyDiv w:val="1"/>
      <w:marLeft w:val="0"/>
      <w:marRight w:val="0"/>
      <w:marTop w:val="0"/>
      <w:marBottom w:val="0"/>
      <w:divBdr>
        <w:top w:val="none" w:sz="0" w:space="0" w:color="auto"/>
        <w:left w:val="none" w:sz="0" w:space="0" w:color="auto"/>
        <w:bottom w:val="none" w:sz="0" w:space="0" w:color="auto"/>
        <w:right w:val="none" w:sz="0" w:space="0" w:color="auto"/>
      </w:divBdr>
    </w:div>
    <w:div w:id="802772066">
      <w:bodyDiv w:val="1"/>
      <w:marLeft w:val="0"/>
      <w:marRight w:val="0"/>
      <w:marTop w:val="0"/>
      <w:marBottom w:val="0"/>
      <w:divBdr>
        <w:top w:val="none" w:sz="0" w:space="0" w:color="auto"/>
        <w:left w:val="none" w:sz="0" w:space="0" w:color="auto"/>
        <w:bottom w:val="none" w:sz="0" w:space="0" w:color="auto"/>
        <w:right w:val="none" w:sz="0" w:space="0" w:color="auto"/>
      </w:divBdr>
    </w:div>
    <w:div w:id="894000983">
      <w:bodyDiv w:val="1"/>
      <w:marLeft w:val="0"/>
      <w:marRight w:val="0"/>
      <w:marTop w:val="0"/>
      <w:marBottom w:val="0"/>
      <w:divBdr>
        <w:top w:val="none" w:sz="0" w:space="0" w:color="auto"/>
        <w:left w:val="none" w:sz="0" w:space="0" w:color="auto"/>
        <w:bottom w:val="none" w:sz="0" w:space="0" w:color="auto"/>
        <w:right w:val="none" w:sz="0" w:space="0" w:color="auto"/>
      </w:divBdr>
    </w:div>
    <w:div w:id="948898695">
      <w:bodyDiv w:val="1"/>
      <w:marLeft w:val="0"/>
      <w:marRight w:val="0"/>
      <w:marTop w:val="0"/>
      <w:marBottom w:val="0"/>
      <w:divBdr>
        <w:top w:val="none" w:sz="0" w:space="0" w:color="auto"/>
        <w:left w:val="none" w:sz="0" w:space="0" w:color="auto"/>
        <w:bottom w:val="none" w:sz="0" w:space="0" w:color="auto"/>
        <w:right w:val="none" w:sz="0" w:space="0" w:color="auto"/>
      </w:divBdr>
    </w:div>
    <w:div w:id="1024209193">
      <w:bodyDiv w:val="1"/>
      <w:marLeft w:val="0"/>
      <w:marRight w:val="0"/>
      <w:marTop w:val="0"/>
      <w:marBottom w:val="0"/>
      <w:divBdr>
        <w:top w:val="none" w:sz="0" w:space="0" w:color="auto"/>
        <w:left w:val="none" w:sz="0" w:space="0" w:color="auto"/>
        <w:bottom w:val="none" w:sz="0" w:space="0" w:color="auto"/>
        <w:right w:val="none" w:sz="0" w:space="0" w:color="auto"/>
      </w:divBdr>
    </w:div>
    <w:div w:id="1385372395">
      <w:bodyDiv w:val="1"/>
      <w:marLeft w:val="0"/>
      <w:marRight w:val="0"/>
      <w:marTop w:val="0"/>
      <w:marBottom w:val="0"/>
      <w:divBdr>
        <w:top w:val="none" w:sz="0" w:space="0" w:color="auto"/>
        <w:left w:val="none" w:sz="0" w:space="0" w:color="auto"/>
        <w:bottom w:val="none" w:sz="0" w:space="0" w:color="auto"/>
        <w:right w:val="none" w:sz="0" w:space="0" w:color="auto"/>
      </w:divBdr>
    </w:div>
    <w:div w:id="1474714031">
      <w:bodyDiv w:val="1"/>
      <w:marLeft w:val="0"/>
      <w:marRight w:val="0"/>
      <w:marTop w:val="0"/>
      <w:marBottom w:val="0"/>
      <w:divBdr>
        <w:top w:val="none" w:sz="0" w:space="0" w:color="auto"/>
        <w:left w:val="none" w:sz="0" w:space="0" w:color="auto"/>
        <w:bottom w:val="none" w:sz="0" w:space="0" w:color="auto"/>
        <w:right w:val="none" w:sz="0" w:space="0" w:color="auto"/>
      </w:divBdr>
    </w:div>
    <w:div w:id="1547138683">
      <w:bodyDiv w:val="1"/>
      <w:marLeft w:val="0"/>
      <w:marRight w:val="0"/>
      <w:marTop w:val="0"/>
      <w:marBottom w:val="0"/>
      <w:divBdr>
        <w:top w:val="none" w:sz="0" w:space="0" w:color="auto"/>
        <w:left w:val="none" w:sz="0" w:space="0" w:color="auto"/>
        <w:bottom w:val="none" w:sz="0" w:space="0" w:color="auto"/>
        <w:right w:val="none" w:sz="0" w:space="0" w:color="auto"/>
      </w:divBdr>
    </w:div>
    <w:div w:id="1693677721">
      <w:bodyDiv w:val="1"/>
      <w:marLeft w:val="0"/>
      <w:marRight w:val="0"/>
      <w:marTop w:val="0"/>
      <w:marBottom w:val="0"/>
      <w:divBdr>
        <w:top w:val="none" w:sz="0" w:space="0" w:color="auto"/>
        <w:left w:val="none" w:sz="0" w:space="0" w:color="auto"/>
        <w:bottom w:val="none" w:sz="0" w:space="0" w:color="auto"/>
        <w:right w:val="none" w:sz="0" w:space="0" w:color="auto"/>
      </w:divBdr>
    </w:div>
    <w:div w:id="1860392324">
      <w:bodyDiv w:val="1"/>
      <w:marLeft w:val="0"/>
      <w:marRight w:val="0"/>
      <w:marTop w:val="0"/>
      <w:marBottom w:val="0"/>
      <w:divBdr>
        <w:top w:val="none" w:sz="0" w:space="0" w:color="auto"/>
        <w:left w:val="none" w:sz="0" w:space="0" w:color="auto"/>
        <w:bottom w:val="none" w:sz="0" w:space="0" w:color="auto"/>
        <w:right w:val="none" w:sz="0" w:space="0" w:color="auto"/>
      </w:divBdr>
    </w:div>
    <w:div w:id="1861237895">
      <w:bodyDiv w:val="1"/>
      <w:marLeft w:val="0"/>
      <w:marRight w:val="0"/>
      <w:marTop w:val="0"/>
      <w:marBottom w:val="0"/>
      <w:divBdr>
        <w:top w:val="none" w:sz="0" w:space="0" w:color="auto"/>
        <w:left w:val="none" w:sz="0" w:space="0" w:color="auto"/>
        <w:bottom w:val="none" w:sz="0" w:space="0" w:color="auto"/>
        <w:right w:val="none" w:sz="0" w:space="0" w:color="auto"/>
      </w:divBdr>
    </w:div>
    <w:div w:id="1871186859">
      <w:bodyDiv w:val="1"/>
      <w:marLeft w:val="0"/>
      <w:marRight w:val="0"/>
      <w:marTop w:val="0"/>
      <w:marBottom w:val="0"/>
      <w:divBdr>
        <w:top w:val="none" w:sz="0" w:space="0" w:color="auto"/>
        <w:left w:val="none" w:sz="0" w:space="0" w:color="auto"/>
        <w:bottom w:val="none" w:sz="0" w:space="0" w:color="auto"/>
        <w:right w:val="none" w:sz="0" w:space="0" w:color="auto"/>
      </w:divBdr>
    </w:div>
    <w:div w:id="1878161506">
      <w:bodyDiv w:val="1"/>
      <w:marLeft w:val="0"/>
      <w:marRight w:val="0"/>
      <w:marTop w:val="0"/>
      <w:marBottom w:val="0"/>
      <w:divBdr>
        <w:top w:val="none" w:sz="0" w:space="0" w:color="auto"/>
        <w:left w:val="none" w:sz="0" w:space="0" w:color="auto"/>
        <w:bottom w:val="none" w:sz="0" w:space="0" w:color="auto"/>
        <w:right w:val="none" w:sz="0" w:space="0" w:color="auto"/>
      </w:divBdr>
    </w:div>
    <w:div w:id="1917743032">
      <w:bodyDiv w:val="1"/>
      <w:marLeft w:val="0"/>
      <w:marRight w:val="0"/>
      <w:marTop w:val="0"/>
      <w:marBottom w:val="0"/>
      <w:divBdr>
        <w:top w:val="none" w:sz="0" w:space="0" w:color="auto"/>
        <w:left w:val="none" w:sz="0" w:space="0" w:color="auto"/>
        <w:bottom w:val="none" w:sz="0" w:space="0" w:color="auto"/>
        <w:right w:val="none" w:sz="0" w:space="0" w:color="auto"/>
      </w:divBdr>
    </w:div>
    <w:div w:id="1949584338">
      <w:bodyDiv w:val="1"/>
      <w:marLeft w:val="0"/>
      <w:marRight w:val="0"/>
      <w:marTop w:val="0"/>
      <w:marBottom w:val="0"/>
      <w:divBdr>
        <w:top w:val="none" w:sz="0" w:space="0" w:color="auto"/>
        <w:left w:val="none" w:sz="0" w:space="0" w:color="auto"/>
        <w:bottom w:val="none" w:sz="0" w:space="0" w:color="auto"/>
        <w:right w:val="none" w:sz="0" w:space="0" w:color="auto"/>
      </w:divBdr>
    </w:div>
    <w:div w:id="2113894688">
      <w:bodyDiv w:val="1"/>
      <w:marLeft w:val="0"/>
      <w:marRight w:val="0"/>
      <w:marTop w:val="0"/>
      <w:marBottom w:val="0"/>
      <w:divBdr>
        <w:top w:val="none" w:sz="0" w:space="0" w:color="auto"/>
        <w:left w:val="none" w:sz="0" w:space="0" w:color="auto"/>
        <w:bottom w:val="none" w:sz="0" w:space="0" w:color="auto"/>
        <w:right w:val="none" w:sz="0" w:space="0" w:color="auto"/>
      </w:divBdr>
    </w:div>
    <w:div w:id="21344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0/STP49901S" TargetMode="External"/><Relationship Id="rId13" Type="http://schemas.openxmlformats.org/officeDocument/2006/relationships/hyperlink" Target="https://doi.org/10.1520/C0496_C0496M-17"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doi.org/10.1520/C0039_C0039M-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doi.org/10.1520/C0192_C0192M-18"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https://www.concrete.org/publications/internationalconcreteabstractsportal/m/details/id/3306" TargetMode="External"/><Relationship Id="rId4" Type="http://schemas.openxmlformats.org/officeDocument/2006/relationships/webSettings" Target="webSettings.xml"/><Relationship Id="rId9" Type="http://schemas.openxmlformats.org/officeDocument/2006/relationships/hyperlink" Target="https://doi.org/10.1520/STP36442S" TargetMode="External"/><Relationship Id="rId14" Type="http://schemas.openxmlformats.org/officeDocument/2006/relationships/hyperlink" Target="https://doi.org/10.1520/C0670-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Compressive</a:t>
            </a:r>
            <a:r>
              <a:rPr lang="en-US" baseline="0">
                <a:solidFill>
                  <a:sysClr val="windowText" lastClr="000000"/>
                </a:solidFill>
                <a:latin typeface="Times New Roman" panose="02020603050405020304" pitchFamily="18" charset="0"/>
                <a:cs typeface="Times New Roman" panose="02020603050405020304" pitchFamily="18" charset="0"/>
              </a:rPr>
              <a:t> Strength vs Days of Curing</a:t>
            </a:r>
            <a:endParaRPr lang="en-US">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83668792121446"/>
          <c:y val="2.78745644599303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Graphs!$B$3</c:f>
              <c:strCache>
                <c:ptCount val="1"/>
                <c:pt idx="0">
                  <c:v>Commercial 3500</c:v>
                </c:pt>
              </c:strCache>
            </c:strRef>
          </c:tx>
          <c:spPr>
            <a:solidFill>
              <a:schemeClr val="accent1"/>
            </a:solidFill>
            <a:ln>
              <a:noFill/>
            </a:ln>
            <a:effectLst/>
          </c:spPr>
          <c:invertIfNegative val="0"/>
          <c:cat>
            <c:numRef>
              <c:f>Graphs!$C$2:$F$2</c:f>
              <c:numCache>
                <c:formatCode>General</c:formatCode>
                <c:ptCount val="4"/>
                <c:pt idx="0">
                  <c:v>0</c:v>
                </c:pt>
                <c:pt idx="1">
                  <c:v>3</c:v>
                </c:pt>
                <c:pt idx="2">
                  <c:v>7</c:v>
                </c:pt>
                <c:pt idx="3">
                  <c:v>14</c:v>
                </c:pt>
              </c:numCache>
            </c:numRef>
          </c:cat>
          <c:val>
            <c:numRef>
              <c:f>Graphs!$C$3:$F$3</c:f>
              <c:numCache>
                <c:formatCode>General</c:formatCode>
                <c:ptCount val="4"/>
                <c:pt idx="0">
                  <c:v>2078</c:v>
                </c:pt>
                <c:pt idx="1">
                  <c:v>2508</c:v>
                </c:pt>
                <c:pt idx="2">
                  <c:v>2782</c:v>
                </c:pt>
                <c:pt idx="3">
                  <c:v>2972</c:v>
                </c:pt>
              </c:numCache>
            </c:numRef>
          </c:val>
          <c:extLst>
            <c:ext xmlns:c16="http://schemas.microsoft.com/office/drawing/2014/chart" uri="{C3380CC4-5D6E-409C-BE32-E72D297353CC}">
              <c16:uniqueId val="{00000000-36AE-4323-B81F-C1408B35D09A}"/>
            </c:ext>
          </c:extLst>
        </c:ser>
        <c:ser>
          <c:idx val="1"/>
          <c:order val="1"/>
          <c:tx>
            <c:strRef>
              <c:f>Graphs!$B$4</c:f>
              <c:strCache>
                <c:ptCount val="1"/>
                <c:pt idx="0">
                  <c:v>Commercial ACI</c:v>
                </c:pt>
              </c:strCache>
            </c:strRef>
          </c:tx>
          <c:spPr>
            <a:solidFill>
              <a:schemeClr val="accent2"/>
            </a:solidFill>
            <a:ln>
              <a:noFill/>
            </a:ln>
            <a:effectLst/>
          </c:spPr>
          <c:invertIfNegative val="0"/>
          <c:cat>
            <c:numRef>
              <c:f>Graphs!$C$2:$F$2</c:f>
              <c:numCache>
                <c:formatCode>General</c:formatCode>
                <c:ptCount val="4"/>
                <c:pt idx="0">
                  <c:v>0</c:v>
                </c:pt>
                <c:pt idx="1">
                  <c:v>3</c:v>
                </c:pt>
                <c:pt idx="2">
                  <c:v>7</c:v>
                </c:pt>
                <c:pt idx="3">
                  <c:v>14</c:v>
                </c:pt>
              </c:numCache>
            </c:numRef>
          </c:cat>
          <c:val>
            <c:numRef>
              <c:f>Graphs!$C$4:$F$4</c:f>
              <c:numCache>
                <c:formatCode>General</c:formatCode>
                <c:ptCount val="4"/>
                <c:pt idx="0">
                  <c:v>2777</c:v>
                </c:pt>
                <c:pt idx="1">
                  <c:v>3182</c:v>
                </c:pt>
                <c:pt idx="2">
                  <c:v>3503</c:v>
                </c:pt>
                <c:pt idx="3">
                  <c:v>3603</c:v>
                </c:pt>
              </c:numCache>
            </c:numRef>
          </c:val>
          <c:extLst>
            <c:ext xmlns:c16="http://schemas.microsoft.com/office/drawing/2014/chart" uri="{C3380CC4-5D6E-409C-BE32-E72D297353CC}">
              <c16:uniqueId val="{00000001-36AE-4323-B81F-C1408B35D09A}"/>
            </c:ext>
          </c:extLst>
        </c:ser>
        <c:ser>
          <c:idx val="2"/>
          <c:order val="2"/>
          <c:tx>
            <c:strRef>
              <c:f>Graphs!$B$5</c:f>
              <c:strCache>
                <c:ptCount val="1"/>
                <c:pt idx="0">
                  <c:v>CRED</c:v>
                </c:pt>
              </c:strCache>
            </c:strRef>
          </c:tx>
          <c:spPr>
            <a:solidFill>
              <a:schemeClr val="accent3"/>
            </a:solidFill>
            <a:ln>
              <a:noFill/>
            </a:ln>
            <a:effectLst/>
          </c:spPr>
          <c:invertIfNegative val="0"/>
          <c:cat>
            <c:numRef>
              <c:f>Graphs!$C$2:$F$2</c:f>
              <c:numCache>
                <c:formatCode>General</c:formatCode>
                <c:ptCount val="4"/>
                <c:pt idx="0">
                  <c:v>0</c:v>
                </c:pt>
                <c:pt idx="1">
                  <c:v>3</c:v>
                </c:pt>
                <c:pt idx="2">
                  <c:v>7</c:v>
                </c:pt>
                <c:pt idx="3">
                  <c:v>14</c:v>
                </c:pt>
              </c:numCache>
            </c:numRef>
          </c:cat>
          <c:val>
            <c:numRef>
              <c:f>Graphs!$C$5:$F$5</c:f>
              <c:numCache>
                <c:formatCode>General</c:formatCode>
                <c:ptCount val="4"/>
                <c:pt idx="0">
                  <c:v>3627</c:v>
                </c:pt>
                <c:pt idx="1">
                  <c:v>3937</c:v>
                </c:pt>
                <c:pt idx="2">
                  <c:v>4318</c:v>
                </c:pt>
                <c:pt idx="3">
                  <c:v>4457</c:v>
                </c:pt>
              </c:numCache>
            </c:numRef>
          </c:val>
          <c:extLst>
            <c:ext xmlns:c16="http://schemas.microsoft.com/office/drawing/2014/chart" uri="{C3380CC4-5D6E-409C-BE32-E72D297353CC}">
              <c16:uniqueId val="{00000002-36AE-4323-B81F-C1408B35D09A}"/>
            </c:ext>
          </c:extLst>
        </c:ser>
        <c:dLbls>
          <c:showLegendKey val="0"/>
          <c:showVal val="0"/>
          <c:showCatName val="0"/>
          <c:showSerName val="0"/>
          <c:showPercent val="0"/>
          <c:showBubbleSize val="0"/>
        </c:dLbls>
        <c:gapWidth val="219"/>
        <c:overlap val="-27"/>
        <c:axId val="763721904"/>
        <c:axId val="763858384"/>
      </c:barChart>
      <c:catAx>
        <c:axId val="763721904"/>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Days of Curing</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3858384"/>
        <c:crosses val="autoZero"/>
        <c:auto val="1"/>
        <c:lblAlgn val="ctr"/>
        <c:lblOffset val="100"/>
        <c:noMultiLvlLbl val="0"/>
      </c:catAx>
      <c:valAx>
        <c:axId val="76385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Compressive</a:t>
                </a:r>
                <a:r>
                  <a:rPr lang="en-US" sz="1200" baseline="0">
                    <a:solidFill>
                      <a:sysClr val="windowText" lastClr="000000"/>
                    </a:solidFill>
                    <a:latin typeface="Times New Roman" panose="02020603050405020304" pitchFamily="18" charset="0"/>
                    <a:cs typeface="Times New Roman" panose="02020603050405020304" pitchFamily="18" charset="0"/>
                  </a:rPr>
                  <a:t> Strength (psi)</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6586903165893065E-2"/>
              <c:y val="0.119055443438892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372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SR vs Days of Curing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Graphs!$R$3</c:f>
              <c:strCache>
                <c:ptCount val="1"/>
                <c:pt idx="0">
                  <c:v>Commercial 3500</c:v>
                </c:pt>
              </c:strCache>
            </c:strRef>
          </c:tx>
          <c:spPr>
            <a:solidFill>
              <a:schemeClr val="accent1"/>
            </a:solidFill>
            <a:ln>
              <a:noFill/>
            </a:ln>
            <a:effectLst/>
          </c:spPr>
          <c:invertIfNegative val="0"/>
          <c:cat>
            <c:numRef>
              <c:f>Graphs!$S$2:$V$2</c:f>
              <c:numCache>
                <c:formatCode>General</c:formatCode>
                <c:ptCount val="4"/>
                <c:pt idx="0">
                  <c:v>0</c:v>
                </c:pt>
                <c:pt idx="1">
                  <c:v>3</c:v>
                </c:pt>
                <c:pt idx="2">
                  <c:v>7</c:v>
                </c:pt>
                <c:pt idx="3">
                  <c:v>14</c:v>
                </c:pt>
              </c:numCache>
            </c:numRef>
          </c:cat>
          <c:val>
            <c:numRef>
              <c:f>Graphs!$S$3:$V$3</c:f>
              <c:numCache>
                <c:formatCode>General</c:formatCode>
                <c:ptCount val="4"/>
                <c:pt idx="0">
                  <c:v>6.6</c:v>
                </c:pt>
                <c:pt idx="1">
                  <c:v>7.4</c:v>
                </c:pt>
                <c:pt idx="2">
                  <c:v>8.1</c:v>
                </c:pt>
                <c:pt idx="3">
                  <c:v>8.5</c:v>
                </c:pt>
              </c:numCache>
            </c:numRef>
          </c:val>
          <c:extLst>
            <c:ext xmlns:c16="http://schemas.microsoft.com/office/drawing/2014/chart" uri="{C3380CC4-5D6E-409C-BE32-E72D297353CC}">
              <c16:uniqueId val="{00000000-7558-4816-856A-E34C84C1E016}"/>
            </c:ext>
          </c:extLst>
        </c:ser>
        <c:ser>
          <c:idx val="1"/>
          <c:order val="1"/>
          <c:tx>
            <c:strRef>
              <c:f>Graphs!$R$4</c:f>
              <c:strCache>
                <c:ptCount val="1"/>
                <c:pt idx="0">
                  <c:v>Commercial ACI</c:v>
                </c:pt>
              </c:strCache>
            </c:strRef>
          </c:tx>
          <c:spPr>
            <a:solidFill>
              <a:schemeClr val="accent2"/>
            </a:solidFill>
            <a:ln>
              <a:noFill/>
            </a:ln>
            <a:effectLst/>
          </c:spPr>
          <c:invertIfNegative val="0"/>
          <c:cat>
            <c:numRef>
              <c:f>Graphs!$S$2:$V$2</c:f>
              <c:numCache>
                <c:formatCode>General</c:formatCode>
                <c:ptCount val="4"/>
                <c:pt idx="0">
                  <c:v>0</c:v>
                </c:pt>
                <c:pt idx="1">
                  <c:v>3</c:v>
                </c:pt>
                <c:pt idx="2">
                  <c:v>7</c:v>
                </c:pt>
                <c:pt idx="3">
                  <c:v>14</c:v>
                </c:pt>
              </c:numCache>
            </c:numRef>
          </c:cat>
          <c:val>
            <c:numRef>
              <c:f>Graphs!$S$4:$V$4</c:f>
              <c:numCache>
                <c:formatCode>General</c:formatCode>
                <c:ptCount val="4"/>
                <c:pt idx="0">
                  <c:v>8.1</c:v>
                </c:pt>
                <c:pt idx="1">
                  <c:v>8.3000000000000007</c:v>
                </c:pt>
                <c:pt idx="2">
                  <c:v>8</c:v>
                </c:pt>
                <c:pt idx="3">
                  <c:v>8.6999999999999993</c:v>
                </c:pt>
              </c:numCache>
            </c:numRef>
          </c:val>
          <c:extLst>
            <c:ext xmlns:c16="http://schemas.microsoft.com/office/drawing/2014/chart" uri="{C3380CC4-5D6E-409C-BE32-E72D297353CC}">
              <c16:uniqueId val="{00000001-7558-4816-856A-E34C84C1E016}"/>
            </c:ext>
          </c:extLst>
        </c:ser>
        <c:ser>
          <c:idx val="2"/>
          <c:order val="2"/>
          <c:tx>
            <c:strRef>
              <c:f>Graphs!$R$5</c:f>
              <c:strCache>
                <c:ptCount val="1"/>
                <c:pt idx="0">
                  <c:v>CRED</c:v>
                </c:pt>
              </c:strCache>
            </c:strRef>
          </c:tx>
          <c:spPr>
            <a:solidFill>
              <a:schemeClr val="accent3"/>
            </a:solidFill>
            <a:ln>
              <a:noFill/>
            </a:ln>
            <a:effectLst/>
          </c:spPr>
          <c:invertIfNegative val="0"/>
          <c:cat>
            <c:numRef>
              <c:f>Graphs!$S$2:$V$2</c:f>
              <c:numCache>
                <c:formatCode>General</c:formatCode>
                <c:ptCount val="4"/>
                <c:pt idx="0">
                  <c:v>0</c:v>
                </c:pt>
                <c:pt idx="1">
                  <c:v>3</c:v>
                </c:pt>
                <c:pt idx="2">
                  <c:v>7</c:v>
                </c:pt>
                <c:pt idx="3">
                  <c:v>14</c:v>
                </c:pt>
              </c:numCache>
            </c:numRef>
          </c:cat>
          <c:val>
            <c:numRef>
              <c:f>Graphs!$S$5:$V$5</c:f>
              <c:numCache>
                <c:formatCode>General</c:formatCode>
                <c:ptCount val="4"/>
                <c:pt idx="0">
                  <c:v>20.2</c:v>
                </c:pt>
                <c:pt idx="1">
                  <c:v>19.899999999999999</c:v>
                </c:pt>
                <c:pt idx="2">
                  <c:v>21</c:v>
                </c:pt>
                <c:pt idx="3">
                  <c:v>22</c:v>
                </c:pt>
              </c:numCache>
            </c:numRef>
          </c:val>
          <c:extLst>
            <c:ext xmlns:c16="http://schemas.microsoft.com/office/drawing/2014/chart" uri="{C3380CC4-5D6E-409C-BE32-E72D297353CC}">
              <c16:uniqueId val="{00000002-7558-4816-856A-E34C84C1E016}"/>
            </c:ext>
          </c:extLst>
        </c:ser>
        <c:dLbls>
          <c:showLegendKey val="0"/>
          <c:showVal val="0"/>
          <c:showCatName val="0"/>
          <c:showSerName val="0"/>
          <c:showPercent val="0"/>
          <c:showBubbleSize val="0"/>
        </c:dLbls>
        <c:gapWidth val="219"/>
        <c:overlap val="-27"/>
        <c:axId val="934564720"/>
        <c:axId val="610835568"/>
      </c:barChart>
      <c:catAx>
        <c:axId val="93456472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Days of Curing</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0835568"/>
        <c:crosses val="autoZero"/>
        <c:auto val="1"/>
        <c:lblAlgn val="ctr"/>
        <c:lblOffset val="100"/>
        <c:noMultiLvlLbl val="0"/>
      </c:catAx>
      <c:valAx>
        <c:axId val="61083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Surface Resistivity (kilohm-cm)</a:t>
                </a:r>
              </a:p>
            </c:rich>
          </c:tx>
          <c:layout>
            <c:manualLayout>
              <c:xMode val="edge"/>
              <c:yMode val="edge"/>
              <c:x val="2.9042904290429043E-2"/>
              <c:y val="9.1789000048982453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3456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Tensile Strength vs Days of Curing</a:t>
            </a:r>
          </a:p>
        </c:rich>
      </c:tx>
      <c:layout>
        <c:manualLayout>
          <c:xMode val="edge"/>
          <c:yMode val="edge"/>
          <c:x val="0.23155418072740908"/>
          <c:y val="2.61894369271060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Graphs!$J$3</c:f>
              <c:strCache>
                <c:ptCount val="1"/>
                <c:pt idx="0">
                  <c:v>Commercial 3500</c:v>
                </c:pt>
              </c:strCache>
            </c:strRef>
          </c:tx>
          <c:spPr>
            <a:solidFill>
              <a:schemeClr val="accent1"/>
            </a:solidFill>
            <a:ln>
              <a:noFill/>
            </a:ln>
            <a:effectLst/>
          </c:spPr>
          <c:invertIfNegative val="0"/>
          <c:cat>
            <c:numRef>
              <c:f>Graphs!$K$2:$N$2</c:f>
              <c:numCache>
                <c:formatCode>General</c:formatCode>
                <c:ptCount val="4"/>
                <c:pt idx="0">
                  <c:v>0</c:v>
                </c:pt>
                <c:pt idx="1">
                  <c:v>3</c:v>
                </c:pt>
                <c:pt idx="2">
                  <c:v>7</c:v>
                </c:pt>
                <c:pt idx="3">
                  <c:v>14</c:v>
                </c:pt>
              </c:numCache>
            </c:numRef>
          </c:cat>
          <c:val>
            <c:numRef>
              <c:f>Graphs!$K$3:$N$3</c:f>
              <c:numCache>
                <c:formatCode>General</c:formatCode>
                <c:ptCount val="4"/>
                <c:pt idx="0">
                  <c:v>229</c:v>
                </c:pt>
                <c:pt idx="1">
                  <c:v>283</c:v>
                </c:pt>
                <c:pt idx="2">
                  <c:v>303</c:v>
                </c:pt>
                <c:pt idx="3">
                  <c:v>312</c:v>
                </c:pt>
              </c:numCache>
            </c:numRef>
          </c:val>
          <c:extLst>
            <c:ext xmlns:c16="http://schemas.microsoft.com/office/drawing/2014/chart" uri="{C3380CC4-5D6E-409C-BE32-E72D297353CC}">
              <c16:uniqueId val="{00000000-8971-4DC3-A30F-ECE640068331}"/>
            </c:ext>
          </c:extLst>
        </c:ser>
        <c:ser>
          <c:idx val="1"/>
          <c:order val="1"/>
          <c:tx>
            <c:strRef>
              <c:f>Graphs!$J$4</c:f>
              <c:strCache>
                <c:ptCount val="1"/>
                <c:pt idx="0">
                  <c:v>Commercial ACI</c:v>
                </c:pt>
              </c:strCache>
            </c:strRef>
          </c:tx>
          <c:spPr>
            <a:solidFill>
              <a:schemeClr val="accent2"/>
            </a:solidFill>
            <a:ln>
              <a:noFill/>
            </a:ln>
            <a:effectLst/>
          </c:spPr>
          <c:invertIfNegative val="0"/>
          <c:cat>
            <c:numRef>
              <c:f>Graphs!$K$2:$N$2</c:f>
              <c:numCache>
                <c:formatCode>General</c:formatCode>
                <c:ptCount val="4"/>
                <c:pt idx="0">
                  <c:v>0</c:v>
                </c:pt>
                <c:pt idx="1">
                  <c:v>3</c:v>
                </c:pt>
                <c:pt idx="2">
                  <c:v>7</c:v>
                </c:pt>
                <c:pt idx="3">
                  <c:v>14</c:v>
                </c:pt>
              </c:numCache>
            </c:numRef>
          </c:cat>
          <c:val>
            <c:numRef>
              <c:f>Graphs!$K$4:$N$4</c:f>
              <c:numCache>
                <c:formatCode>General</c:formatCode>
                <c:ptCount val="4"/>
                <c:pt idx="0">
                  <c:v>300</c:v>
                </c:pt>
                <c:pt idx="1">
                  <c:v>338</c:v>
                </c:pt>
                <c:pt idx="2">
                  <c:v>338</c:v>
                </c:pt>
                <c:pt idx="3">
                  <c:v>363</c:v>
                </c:pt>
              </c:numCache>
            </c:numRef>
          </c:val>
          <c:extLst>
            <c:ext xmlns:c16="http://schemas.microsoft.com/office/drawing/2014/chart" uri="{C3380CC4-5D6E-409C-BE32-E72D297353CC}">
              <c16:uniqueId val="{00000001-8971-4DC3-A30F-ECE640068331}"/>
            </c:ext>
          </c:extLst>
        </c:ser>
        <c:ser>
          <c:idx val="2"/>
          <c:order val="2"/>
          <c:tx>
            <c:strRef>
              <c:f>Graphs!$J$5</c:f>
              <c:strCache>
                <c:ptCount val="1"/>
                <c:pt idx="0">
                  <c:v>CRED</c:v>
                </c:pt>
              </c:strCache>
            </c:strRef>
          </c:tx>
          <c:spPr>
            <a:solidFill>
              <a:schemeClr val="accent3"/>
            </a:solidFill>
            <a:ln>
              <a:noFill/>
            </a:ln>
            <a:effectLst/>
          </c:spPr>
          <c:invertIfNegative val="0"/>
          <c:cat>
            <c:numRef>
              <c:f>Graphs!$K$2:$N$2</c:f>
              <c:numCache>
                <c:formatCode>General</c:formatCode>
                <c:ptCount val="4"/>
                <c:pt idx="0">
                  <c:v>0</c:v>
                </c:pt>
                <c:pt idx="1">
                  <c:v>3</c:v>
                </c:pt>
                <c:pt idx="2">
                  <c:v>7</c:v>
                </c:pt>
                <c:pt idx="3">
                  <c:v>14</c:v>
                </c:pt>
              </c:numCache>
            </c:numRef>
          </c:cat>
          <c:val>
            <c:numRef>
              <c:f>Graphs!$K$5:$N$5</c:f>
              <c:numCache>
                <c:formatCode>General</c:formatCode>
                <c:ptCount val="4"/>
                <c:pt idx="0">
                  <c:v>340</c:v>
                </c:pt>
                <c:pt idx="1">
                  <c:v>360</c:v>
                </c:pt>
                <c:pt idx="2">
                  <c:v>376</c:v>
                </c:pt>
                <c:pt idx="3">
                  <c:v>399</c:v>
                </c:pt>
              </c:numCache>
            </c:numRef>
          </c:val>
          <c:extLst>
            <c:ext xmlns:c16="http://schemas.microsoft.com/office/drawing/2014/chart" uri="{C3380CC4-5D6E-409C-BE32-E72D297353CC}">
              <c16:uniqueId val="{00000002-8971-4DC3-A30F-ECE640068331}"/>
            </c:ext>
          </c:extLst>
        </c:ser>
        <c:dLbls>
          <c:showLegendKey val="0"/>
          <c:showVal val="0"/>
          <c:showCatName val="0"/>
          <c:showSerName val="0"/>
          <c:showPercent val="0"/>
          <c:showBubbleSize val="0"/>
        </c:dLbls>
        <c:gapWidth val="219"/>
        <c:overlap val="-27"/>
        <c:axId val="768730512"/>
        <c:axId val="763856720"/>
      </c:barChart>
      <c:catAx>
        <c:axId val="76873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Days of Curing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3856720"/>
        <c:crosses val="autoZero"/>
        <c:auto val="1"/>
        <c:lblAlgn val="ctr"/>
        <c:lblOffset val="100"/>
        <c:noMultiLvlLbl val="0"/>
      </c:catAx>
      <c:valAx>
        <c:axId val="76385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Tensile Strength (psi)</a:t>
                </a:r>
              </a:p>
            </c:rich>
          </c:tx>
          <c:layout>
            <c:manualLayout>
              <c:xMode val="edge"/>
              <c:yMode val="edge"/>
              <c:x val="2.3809523809523808E-2"/>
              <c:y val="0.190235156817032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873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 Hughes</dc:creator>
  <cp:keywords/>
  <dc:description/>
  <cp:lastModifiedBy>LK Crouch</cp:lastModifiedBy>
  <cp:revision>2</cp:revision>
  <dcterms:created xsi:type="dcterms:W3CDTF">2021-08-20T14:22:00Z</dcterms:created>
  <dcterms:modified xsi:type="dcterms:W3CDTF">2021-08-20T14:22:00Z</dcterms:modified>
</cp:coreProperties>
</file>